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841F0" w14:textId="77777777" w:rsidR="00A10A51" w:rsidRPr="00A10A51" w:rsidRDefault="00A10A51" w:rsidP="00350389">
      <w:pPr>
        <w:spacing w:before="120" w:after="0"/>
        <w:rPr>
          <w:rFonts w:asciiTheme="minorHAnsi" w:eastAsia="Verdana" w:hAnsiTheme="minorHAnsi" w:cstheme="minorHAnsi"/>
          <w:b/>
          <w:u w:val="single"/>
        </w:rPr>
      </w:pPr>
      <w:r w:rsidRPr="00A10A51">
        <w:rPr>
          <w:rFonts w:asciiTheme="minorHAnsi" w:eastAsia="Verdana" w:hAnsiTheme="minorHAnsi" w:cstheme="minorHAnsi"/>
          <w:b/>
          <w:sz w:val="28"/>
          <w:u w:val="single"/>
        </w:rPr>
        <w:t>Informace o předškolním vzdělávání</w:t>
      </w:r>
    </w:p>
    <w:p w14:paraId="48ECF823" w14:textId="77777777" w:rsidR="00A10A51" w:rsidRPr="00350389" w:rsidRDefault="00A10A51" w:rsidP="00350389">
      <w:pPr>
        <w:spacing w:after="0" w:line="240" w:lineRule="auto"/>
        <w:rPr>
          <w:rFonts w:asciiTheme="minorHAnsi" w:hAnsiTheme="minorHAnsi" w:cstheme="minorHAnsi"/>
          <w:noProof/>
          <w:color w:val="0070C0"/>
          <w:sz w:val="16"/>
          <w:szCs w:val="16"/>
        </w:rPr>
      </w:pPr>
    </w:p>
    <w:p w14:paraId="0551CCD9" w14:textId="5E984905" w:rsidR="00A10A51" w:rsidRPr="00A10A51" w:rsidRDefault="00A10A51" w:rsidP="00350389">
      <w:pPr>
        <w:spacing w:before="120" w:after="0"/>
        <w:rPr>
          <w:rFonts w:asciiTheme="minorHAnsi" w:eastAsia="Verdana" w:hAnsiTheme="minorHAnsi" w:cstheme="minorHAnsi"/>
          <w:b/>
          <w:noProof/>
          <w:color w:val="1F497D" w:themeColor="text2"/>
          <w:u w:val="single"/>
        </w:rPr>
      </w:pPr>
      <w:r w:rsidRPr="00A10A51">
        <w:rPr>
          <w:rFonts w:asciiTheme="minorHAnsi" w:eastAsia="Verdana" w:hAnsiTheme="minorHAnsi" w:cstheme="minorHAnsi"/>
          <w:b/>
          <w:u w:val="single"/>
        </w:rPr>
        <w:t>Obecné informace o fungování předškolního vzdělávání v ČR</w:t>
      </w:r>
    </w:p>
    <w:p w14:paraId="2E2C4B65" w14:textId="2050ED0A" w:rsidR="00A10A51" w:rsidRPr="00A10A51" w:rsidRDefault="00A10A51" w:rsidP="00A10A51">
      <w:pPr>
        <w:spacing w:before="120" w:after="120"/>
        <w:rPr>
          <w:rFonts w:asciiTheme="minorHAnsi" w:eastAsiaTheme="minorEastAsia" w:hAnsiTheme="minorHAnsi" w:cstheme="minorHAnsi"/>
          <w:noProof/>
          <w:color w:val="1F497D" w:themeColor="text2"/>
        </w:rPr>
      </w:pPr>
      <w:r w:rsidRPr="00A10A51">
        <w:rPr>
          <w:rFonts w:asciiTheme="minorHAnsi" w:eastAsia="Verdana" w:hAnsiTheme="minorHAnsi" w:cstheme="minorHAnsi"/>
        </w:rPr>
        <w:t>Předškolní vzdělávání je určeno dětem od 3 do 6 let, mohou být však přijaty i</w:t>
      </w:r>
      <w:r w:rsidR="00350389">
        <w:rPr>
          <w:rFonts w:asciiTheme="minorHAnsi" w:eastAsia="Verdana" w:hAnsiTheme="minorHAnsi" w:cstheme="minorHAnsi"/>
        </w:rPr>
        <w:t> </w:t>
      </w:r>
      <w:r w:rsidRPr="00A10A51">
        <w:rPr>
          <w:rFonts w:asciiTheme="minorHAnsi" w:eastAsia="Verdana" w:hAnsiTheme="minorHAnsi" w:cstheme="minorHAnsi"/>
        </w:rPr>
        <w:t>děti 2leté. Podporuje výchovné působení rodiny a doplňuje je o specifické podněty. Je etapou vzdělávání, v němž dítě získává především sociální zkušenosti, poznatky o životě kolem a první podněty pro celoživotní učení. Vzdělávání v mateřské škole se řídí kurikulárním dokumentem Rámcový vzdělávací program pro předškolní vzdělávání.</w:t>
      </w:r>
    </w:p>
    <w:p w14:paraId="1ED806BE" w14:textId="1D1B7F91" w:rsidR="00350389" w:rsidRDefault="00A10A51" w:rsidP="00A10A51">
      <w:pPr>
        <w:spacing w:before="120" w:after="120"/>
        <w:rPr>
          <w:rFonts w:asciiTheme="minorHAnsi" w:eastAsia="Verdana" w:hAnsiTheme="minorHAnsi" w:cstheme="minorHAnsi"/>
        </w:rPr>
      </w:pPr>
      <w:r w:rsidRPr="00A10A51">
        <w:rPr>
          <w:rFonts w:asciiTheme="minorHAnsi" w:eastAsia="Verdana" w:hAnsiTheme="minorHAnsi" w:cstheme="minorHAnsi"/>
        </w:rPr>
        <w:t>Docházka do MŠ je povinná pro děti od 5 let věku (rozhodující je věk dítěte k 31.8. daného roku). Rodiče hradí v MŠ část nákladů na vzdělávání (tzv.</w:t>
      </w:r>
      <w:r w:rsidR="00350389">
        <w:rPr>
          <w:rFonts w:asciiTheme="minorHAnsi" w:eastAsia="Verdana" w:hAnsiTheme="minorHAnsi" w:cstheme="minorHAnsi"/>
        </w:rPr>
        <w:t> </w:t>
      </w:r>
      <w:r w:rsidRPr="00A10A51">
        <w:rPr>
          <w:rFonts w:asciiTheme="minorHAnsi" w:eastAsia="Verdana" w:hAnsiTheme="minorHAnsi" w:cstheme="minorHAnsi"/>
        </w:rPr>
        <w:t xml:space="preserve">školné) a stravné (celkem asi 1000-2000Kč měsíčně). Děti, které mají nastoupit do povinného předškolního ročníku, jsou přijímány do mateřské školy přednostně a platí pouze náklady na stravné (asi 30-35 Kč za den). Dalším kritériem pro přijetí dítěte může být trvalé bydliště v obci nebo městské části, která danou MŠ zřizuje. Mateřské školy v ČR mohou být státní, soukromé i církevní - výše poplatků se proto u jednotlivých MŠ liší. </w:t>
      </w:r>
    </w:p>
    <w:p w14:paraId="234B5C2A" w14:textId="77777777" w:rsidR="007B68F6" w:rsidRPr="007B68F6" w:rsidRDefault="007B68F6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2158FFBB" w14:textId="2A80C42E" w:rsidR="00A10A51" w:rsidRPr="00A10A51" w:rsidRDefault="00364C69" w:rsidP="00350389">
      <w:pPr>
        <w:spacing w:before="120" w:after="0"/>
        <w:rPr>
          <w:rFonts w:asciiTheme="minorHAnsi" w:eastAsia="Verdana" w:hAnsiTheme="minorHAnsi" w:cstheme="minorHAnsi"/>
          <w:b/>
          <w:color w:val="0070C0"/>
          <w:sz w:val="28"/>
          <w:u w:val="single"/>
        </w:rPr>
      </w:pPr>
      <w:r w:rsidRPr="00364C69">
        <w:rPr>
          <w:rFonts w:asciiTheme="minorHAnsi" w:eastAsia="Verdana" w:hAnsiTheme="minorHAnsi" w:cstheme="minorHAnsi"/>
          <w:b/>
          <w:color w:val="0070C0"/>
          <w:sz w:val="28"/>
          <w:u w:val="single"/>
        </w:rPr>
        <w:t>Информация за предучилищното образование</w:t>
      </w:r>
    </w:p>
    <w:p w14:paraId="05F56895" w14:textId="77777777" w:rsidR="00A10A51" w:rsidRPr="00350389" w:rsidRDefault="00A10A51" w:rsidP="00350389">
      <w:pPr>
        <w:spacing w:after="0" w:line="240" w:lineRule="auto"/>
        <w:rPr>
          <w:rFonts w:asciiTheme="minorHAnsi" w:eastAsia="Verdana" w:hAnsiTheme="minorHAnsi" w:cstheme="minorHAnsi"/>
          <w:sz w:val="16"/>
          <w:szCs w:val="16"/>
        </w:rPr>
      </w:pPr>
    </w:p>
    <w:p w14:paraId="0CBB2769" w14:textId="6AFFA572" w:rsidR="00A10A51" w:rsidRPr="00A10A51" w:rsidRDefault="000A050F" w:rsidP="00350389">
      <w:pPr>
        <w:spacing w:before="120" w:after="0"/>
        <w:rPr>
          <w:rFonts w:asciiTheme="minorHAnsi" w:eastAsia="Verdana" w:hAnsiTheme="minorHAnsi" w:cstheme="minorHAnsi"/>
          <w:b/>
          <w:noProof/>
          <w:color w:val="0070C0"/>
          <w:u w:val="single"/>
        </w:rPr>
      </w:pPr>
      <w:r w:rsidRPr="000A050F">
        <w:rPr>
          <w:rFonts w:asciiTheme="minorHAnsi" w:eastAsia="Verdana" w:hAnsiTheme="minorHAnsi" w:cstheme="minorHAnsi"/>
          <w:b/>
          <w:color w:val="0070C0"/>
          <w:u w:val="single"/>
        </w:rPr>
        <w:t>Обща информация за функционирането на предучилищното образование в Чешката република</w:t>
      </w:r>
      <w:r w:rsidR="00A10A51" w:rsidRPr="00A10A51">
        <w:rPr>
          <w:rFonts w:asciiTheme="minorHAnsi" w:eastAsia="Verdana" w:hAnsiTheme="minorHAnsi" w:cstheme="minorHAnsi"/>
          <w:color w:val="0070C0"/>
        </w:rPr>
        <w:t xml:space="preserve">  </w:t>
      </w:r>
    </w:p>
    <w:p w14:paraId="02E38C8A" w14:textId="3268F362" w:rsidR="00A10A51" w:rsidRPr="007B68F6" w:rsidRDefault="000A050F" w:rsidP="00A10A51">
      <w:pPr>
        <w:spacing w:before="120" w:after="120"/>
        <w:rPr>
          <w:rFonts w:asciiTheme="minorHAnsi" w:eastAsiaTheme="minorEastAsia" w:hAnsiTheme="minorHAnsi" w:cstheme="minorHAnsi"/>
          <w:noProof/>
          <w:color w:val="0070C0"/>
          <w:sz w:val="20"/>
        </w:rPr>
      </w:pPr>
      <w:r w:rsidRPr="007B68F6">
        <w:rPr>
          <w:rFonts w:asciiTheme="minorHAnsi" w:eastAsia="Verdana" w:hAnsiTheme="minorHAnsi" w:cstheme="minorHAnsi"/>
          <w:color w:val="0070C0"/>
          <w:sz w:val="20"/>
        </w:rPr>
        <w:t xml:space="preserve">Предучилищното образование е предназначено за деца на възраст от 3 до 6 години, но могат да бъдат 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приети</w:t>
      </w:r>
      <w:r w:rsidRPr="007B68F6">
        <w:rPr>
          <w:rFonts w:asciiTheme="minorHAnsi" w:eastAsia="Verdana" w:hAnsiTheme="minorHAnsi" w:cstheme="minorHAnsi"/>
          <w:color w:val="0070C0"/>
          <w:sz w:val="20"/>
        </w:rPr>
        <w:t xml:space="preserve"> и 2-годишни </w:t>
      </w:r>
      <w:r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деца</w:t>
      </w:r>
      <w:r w:rsidR="00623418" w:rsidRPr="007B68F6">
        <w:rPr>
          <w:rFonts w:asciiTheme="minorHAnsi" w:eastAsia="Verdana" w:hAnsiTheme="minorHAnsi" w:cstheme="minorHAnsi"/>
          <w:color w:val="0070C0"/>
          <w:sz w:val="20"/>
        </w:rPr>
        <w:t xml:space="preserve">. Подпомага </w:t>
      </w:r>
      <w:r w:rsidR="00623418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възпита</w:t>
      </w:r>
      <w:r w:rsidRPr="007B68F6">
        <w:rPr>
          <w:rFonts w:asciiTheme="minorHAnsi" w:eastAsia="Verdana" w:hAnsiTheme="minorHAnsi" w:cstheme="minorHAnsi"/>
          <w:color w:val="0070C0"/>
          <w:sz w:val="20"/>
        </w:rPr>
        <w:t xml:space="preserve">телните дейности на семейството и ги допълва със специфични стимули. Това е етап на образование, в който детето придобива преди всичко социален опит, познания за живота 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 xml:space="preserve">наоколо </w:t>
      </w:r>
      <w:r w:rsidRPr="007B68F6">
        <w:rPr>
          <w:rFonts w:asciiTheme="minorHAnsi" w:eastAsia="Verdana" w:hAnsiTheme="minorHAnsi" w:cstheme="minorHAnsi"/>
          <w:color w:val="0070C0"/>
          <w:sz w:val="20"/>
        </w:rPr>
        <w:t>и първи стимул</w:t>
      </w:r>
      <w:r w:rsidR="001647B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и</w:t>
      </w:r>
      <w:r w:rsidRPr="007B68F6">
        <w:rPr>
          <w:rFonts w:asciiTheme="minorHAnsi" w:eastAsia="Verdana" w:hAnsiTheme="minorHAnsi" w:cstheme="minorHAnsi"/>
          <w:color w:val="0070C0"/>
          <w:sz w:val="20"/>
        </w:rPr>
        <w:t xml:space="preserve"> за учене през целия живот. Образованието в детската градина се ръков</w:t>
      </w:r>
      <w:r w:rsidR="00736C05" w:rsidRPr="007B68F6">
        <w:rPr>
          <w:rFonts w:asciiTheme="minorHAnsi" w:eastAsia="Verdana" w:hAnsiTheme="minorHAnsi" w:cstheme="minorHAnsi"/>
          <w:color w:val="0070C0"/>
          <w:sz w:val="20"/>
        </w:rPr>
        <w:t>оди от учеб</w:t>
      </w:r>
      <w:r w:rsidR="00F3282B" w:rsidRPr="007B68F6">
        <w:rPr>
          <w:rFonts w:asciiTheme="minorHAnsi" w:eastAsia="Verdana" w:hAnsiTheme="minorHAnsi" w:cstheme="minorHAnsi"/>
          <w:color w:val="0070C0"/>
          <w:sz w:val="20"/>
        </w:rPr>
        <w:t>н</w:t>
      </w:r>
      <w:r w:rsidR="00736C05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ия</w:t>
      </w:r>
      <w:r w:rsidR="00F3282B" w:rsidRPr="007B68F6">
        <w:rPr>
          <w:rFonts w:asciiTheme="minorHAnsi" w:eastAsia="Verdana" w:hAnsiTheme="minorHAnsi" w:cstheme="minorHAnsi"/>
          <w:color w:val="0070C0"/>
          <w:sz w:val="20"/>
        </w:rPr>
        <w:t xml:space="preserve"> документ Рамкова</w:t>
      </w:r>
      <w:r w:rsidRPr="007B68F6">
        <w:rPr>
          <w:rFonts w:asciiTheme="minorHAnsi" w:eastAsia="Verdana" w:hAnsiTheme="minorHAnsi" w:cstheme="minorHAnsi"/>
          <w:color w:val="0070C0"/>
          <w:sz w:val="20"/>
        </w:rPr>
        <w:t xml:space="preserve"> образователна програма за предучилищно образование.</w:t>
      </w:r>
    </w:p>
    <w:p w14:paraId="01578F70" w14:textId="3EEC9080" w:rsidR="00AD6CA2" w:rsidRPr="007B68F6" w:rsidRDefault="00227AB5" w:rsidP="00AD6CA2">
      <w:pPr>
        <w:spacing w:after="0"/>
        <w:jc w:val="left"/>
        <w:rPr>
          <w:rFonts w:asciiTheme="minorHAnsi" w:eastAsia="Verdana" w:hAnsiTheme="minorHAnsi" w:cstheme="minorHAnsi"/>
          <w:color w:val="0070C0"/>
          <w:sz w:val="20"/>
        </w:rPr>
        <w:sectPr w:rsidR="00AD6CA2" w:rsidRPr="007B68F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567" w:bottom="1134" w:left="567" w:header="284" w:footer="79" w:gutter="0"/>
          <w:pgNumType w:start="2"/>
          <w:cols w:num="2" w:space="708"/>
        </w:sectPr>
      </w:pPr>
      <w:r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 xml:space="preserve">Посещаването на 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ДГ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 е задължително за деца на възраст от 5 години (</w:t>
      </w:r>
      <w:r w:rsidR="00F3282B" w:rsidRPr="007B68F6">
        <w:rPr>
          <w:rFonts w:asciiTheme="minorHAnsi" w:eastAsia="Verdana" w:hAnsiTheme="minorHAnsi" w:cstheme="minorHAnsi"/>
          <w:color w:val="0070C0"/>
          <w:sz w:val="20"/>
        </w:rPr>
        <w:t xml:space="preserve">решаваща 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 xml:space="preserve">е 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възрастта на детето </w:t>
      </w:r>
      <w:r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към</w:t>
      </w:r>
      <w:r w:rsidR="00F3282B" w:rsidRPr="007B68F6">
        <w:rPr>
          <w:rFonts w:asciiTheme="minorHAnsi" w:eastAsia="Verdana" w:hAnsiTheme="minorHAnsi" w:cstheme="minorHAnsi"/>
          <w:color w:val="0070C0"/>
          <w:sz w:val="20"/>
        </w:rPr>
        <w:t xml:space="preserve"> 31.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8.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 </w:t>
      </w:r>
      <w:r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 xml:space="preserve">на дадената 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 година). Родителите заплащат 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 xml:space="preserve">в ДГ 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част от разходите за образование (т.нар. </w:t>
      </w:r>
      <w:r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т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>акс</w:t>
      </w:r>
      <w:r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а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 за обучение) и храна (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 xml:space="preserve">общо </w:t>
      </w:r>
      <w:r w:rsidR="00F3282B" w:rsidRPr="007B68F6">
        <w:rPr>
          <w:rFonts w:asciiTheme="minorHAnsi" w:eastAsia="Verdana" w:hAnsiTheme="minorHAnsi" w:cstheme="minorHAnsi"/>
          <w:color w:val="0070C0"/>
          <w:sz w:val="20"/>
        </w:rPr>
        <w:t>около 1000-2000 кро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ни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 на месец). Децата, които 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тря</w:t>
      </w:r>
      <w:r w:rsidR="005C5F62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бва да постъпят в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 задължителната предучилищна година, се приемат в</w:t>
      </w:r>
      <w:r w:rsidR="005C5F62" w:rsidRPr="007B68F6">
        <w:rPr>
          <w:rFonts w:asciiTheme="minorHAnsi" w:eastAsia="Verdana" w:hAnsiTheme="minorHAnsi" w:cstheme="minorHAnsi"/>
          <w:color w:val="0070C0"/>
          <w:sz w:val="20"/>
        </w:rPr>
        <w:t xml:space="preserve"> детската градина </w:t>
      </w:r>
      <w:r w:rsidR="005C5F62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 xml:space="preserve">с предимство 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и заплащат само разходите за </w:t>
      </w:r>
      <w:r w:rsidR="005C5F62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 xml:space="preserve">храна </w:t>
      </w:r>
      <w:r w:rsidR="00F3282B" w:rsidRPr="007B68F6">
        <w:rPr>
          <w:rFonts w:asciiTheme="minorHAnsi" w:eastAsia="Verdana" w:hAnsiTheme="minorHAnsi" w:cstheme="minorHAnsi"/>
          <w:color w:val="0070C0"/>
          <w:sz w:val="20"/>
        </w:rPr>
        <w:t>(около 30-35 крони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 на де</w:t>
      </w:r>
      <w:r w:rsidR="005C5F62" w:rsidRPr="007B68F6">
        <w:rPr>
          <w:rFonts w:asciiTheme="minorHAnsi" w:eastAsia="Verdana" w:hAnsiTheme="minorHAnsi" w:cstheme="minorHAnsi"/>
          <w:color w:val="0070C0"/>
          <w:sz w:val="20"/>
        </w:rPr>
        <w:t xml:space="preserve">н). Друг критерий за </w:t>
      </w:r>
      <w:r w:rsidR="005C5F62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приемането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 на дете</w:t>
      </w:r>
      <w:r w:rsidR="005C5F62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то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 може да бъде постоянното пре</w:t>
      </w:r>
      <w:r w:rsidR="005C5F62" w:rsidRPr="007B68F6">
        <w:rPr>
          <w:rFonts w:asciiTheme="minorHAnsi" w:eastAsia="Verdana" w:hAnsiTheme="minorHAnsi" w:cstheme="minorHAnsi"/>
          <w:color w:val="0070C0"/>
          <w:sz w:val="20"/>
        </w:rPr>
        <w:t xml:space="preserve">биваване в общината или в </w:t>
      </w:r>
      <w:r w:rsidR="005C5F62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района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>, който</w:t>
      </w:r>
      <w:r w:rsidR="005C5F62" w:rsidRPr="007B68F6">
        <w:rPr>
          <w:rFonts w:asciiTheme="minorHAnsi" w:eastAsia="Verdana" w:hAnsiTheme="minorHAnsi" w:cstheme="minorHAnsi"/>
          <w:color w:val="0070C0"/>
          <w:sz w:val="20"/>
        </w:rPr>
        <w:t xml:space="preserve"> 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учре</w:t>
      </w:r>
      <w:r w:rsidR="00353194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дява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 xml:space="preserve"> дадената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 </w:t>
      </w:r>
      <w:r w:rsidR="00F3282B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ДГ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. Детските градини в Чешката република могат да бъдат държавни, частни и религиозни - размерът на таксите </w:t>
      </w:r>
      <w:r w:rsidR="005C5F62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 xml:space="preserve">поради тази причина 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е различен </w:t>
      </w:r>
      <w:r w:rsidR="005C5F62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в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 xml:space="preserve"> отделните </w:t>
      </w:r>
      <w:r w:rsidR="005C5F62" w:rsidRPr="007B68F6">
        <w:rPr>
          <w:rFonts w:asciiTheme="minorHAnsi" w:eastAsia="Verdana" w:hAnsiTheme="minorHAnsi" w:cstheme="minorHAnsi"/>
          <w:color w:val="0070C0"/>
          <w:sz w:val="20"/>
          <w:lang w:val="bg-BG"/>
        </w:rPr>
        <w:t>ДГ</w:t>
      </w:r>
      <w:r w:rsidR="00AD6CA2" w:rsidRPr="007B68F6">
        <w:rPr>
          <w:rFonts w:asciiTheme="minorHAnsi" w:eastAsia="Verdana" w:hAnsiTheme="minorHAnsi" w:cstheme="minorHAnsi"/>
          <w:color w:val="0070C0"/>
          <w:sz w:val="20"/>
        </w:rPr>
        <w:t>.</w:t>
      </w:r>
    </w:p>
    <w:p w14:paraId="124C48D9" w14:textId="77777777" w:rsidR="007B68F6" w:rsidRPr="00A10A51" w:rsidRDefault="007B68F6" w:rsidP="007B68F6">
      <w:pPr>
        <w:spacing w:before="120" w:after="120"/>
        <w:rPr>
          <w:rFonts w:asciiTheme="minorHAnsi" w:eastAsia="Verdana" w:hAnsiTheme="minorHAnsi" w:cstheme="minorHAnsi"/>
          <w:b/>
          <w:sz w:val="22"/>
        </w:rPr>
      </w:pPr>
      <w:r w:rsidRPr="00A10A51">
        <w:rPr>
          <w:rFonts w:asciiTheme="minorHAnsi" w:eastAsia="Verdana" w:hAnsiTheme="minorHAnsi" w:cstheme="minorHAnsi"/>
        </w:rPr>
        <w:lastRenderedPageBreak/>
        <w:t>Dítě se přihlašuje k docházce do MŠ na půl dne (odchod po obědě) nebo na</w:t>
      </w:r>
      <w:r>
        <w:rPr>
          <w:rFonts w:asciiTheme="minorHAnsi" w:eastAsia="Verdana" w:hAnsiTheme="minorHAnsi" w:cstheme="minorHAnsi"/>
        </w:rPr>
        <w:t> </w:t>
      </w:r>
      <w:r w:rsidRPr="00A10A51">
        <w:rPr>
          <w:rFonts w:asciiTheme="minorHAnsi" w:eastAsia="Verdana" w:hAnsiTheme="minorHAnsi" w:cstheme="minorHAnsi"/>
        </w:rPr>
        <w:t>celý den. MŠ zpravidla poskytuje dítěti dopolední svačinu, oběd a</w:t>
      </w:r>
      <w:r>
        <w:rPr>
          <w:rFonts w:asciiTheme="minorHAnsi" w:eastAsia="Verdana" w:hAnsiTheme="minorHAnsi" w:cstheme="minorHAnsi"/>
        </w:rPr>
        <w:t> </w:t>
      </w:r>
      <w:r w:rsidRPr="00A10A51">
        <w:rPr>
          <w:rFonts w:asciiTheme="minorHAnsi" w:eastAsia="Verdana" w:hAnsiTheme="minorHAnsi" w:cstheme="minorHAnsi"/>
        </w:rPr>
        <w:t>odpolední svačinu včetně nápojů.</w:t>
      </w:r>
    </w:p>
    <w:p w14:paraId="13935AEA" w14:textId="77777777" w:rsidR="007B68F6" w:rsidRDefault="007B68F6" w:rsidP="007B68F6">
      <w:pPr>
        <w:spacing w:before="120" w:after="120"/>
        <w:rPr>
          <w:rFonts w:asciiTheme="minorHAnsi" w:eastAsia="Verdana" w:hAnsiTheme="minorHAnsi" w:cstheme="minorHAnsi"/>
        </w:rPr>
      </w:pPr>
      <w:r w:rsidRPr="00A10A51">
        <w:rPr>
          <w:rFonts w:asciiTheme="minorHAnsi" w:eastAsia="Verdana" w:hAnsiTheme="minorHAnsi" w:cstheme="minorHAnsi"/>
        </w:rPr>
        <w:t>Školní rok v MŠ začíná 1. září a končí 30. června, v červenci a srpnu mají otevřeno pouze některé MŠ a docházka dětí se</w:t>
      </w:r>
      <w:r>
        <w:rPr>
          <w:rFonts w:asciiTheme="minorHAnsi" w:eastAsia="Verdana" w:hAnsiTheme="minorHAnsi" w:cstheme="minorHAnsi"/>
        </w:rPr>
        <w:t xml:space="preserve"> řídí zvláštními pravidly. Děti </w:t>
      </w:r>
    </w:p>
    <w:p w14:paraId="171391AF" w14:textId="77777777" w:rsidR="007B68F6" w:rsidRDefault="007B68F6" w:rsidP="007B68F6">
      <w:pPr>
        <w:spacing w:before="120" w:after="120"/>
        <w:rPr>
          <w:rFonts w:asciiTheme="minorHAnsi" w:eastAsia="Verdana" w:hAnsiTheme="minorHAnsi" w:cstheme="minorHAnsi"/>
        </w:rPr>
      </w:pPr>
      <w:r w:rsidRPr="00A10A51">
        <w:rPr>
          <w:rFonts w:asciiTheme="minorHAnsi" w:eastAsia="Verdana" w:hAnsiTheme="minorHAnsi" w:cstheme="minorHAnsi"/>
        </w:rPr>
        <w:t>jsou ve třídách umístěny podle věku nebo jsou ve třídách věkově smíšených. Třídu o počtu max. 24-28 dětí vedou 2 učitelky. MŠ je řízena ředitelkou, která je odpovědna za přije</w:t>
      </w:r>
      <w:r>
        <w:rPr>
          <w:rFonts w:asciiTheme="minorHAnsi" w:eastAsia="Verdana" w:hAnsiTheme="minorHAnsi" w:cstheme="minorHAnsi"/>
        </w:rPr>
        <w:t>tí dítěte.</w:t>
      </w:r>
    </w:p>
    <w:p w14:paraId="65070D82" w14:textId="77777777" w:rsidR="00AD6CA2" w:rsidRDefault="00AD6CA2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5A9E255E" w14:textId="77777777" w:rsidR="00AD6CA2" w:rsidRDefault="00AD6CA2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000C6BA2" w14:textId="77777777" w:rsidR="00AD6CA2" w:rsidRDefault="00AD6CA2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7789C937" w14:textId="77777777" w:rsidR="00AD6CA2" w:rsidRDefault="00AD6CA2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7BF938FE" w14:textId="77777777" w:rsidR="00AD6CA2" w:rsidRDefault="00AD6CA2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230C530C" w14:textId="77777777" w:rsidR="00AD6CA2" w:rsidRDefault="00AD6CA2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2ADAC70E" w14:textId="77777777" w:rsidR="00AD6CA2" w:rsidRDefault="00AD6CA2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261339CE" w14:textId="77777777" w:rsidR="00AD6CA2" w:rsidRDefault="00AD6CA2" w:rsidP="00A10A51">
      <w:pPr>
        <w:spacing w:before="120" w:after="120"/>
        <w:rPr>
          <w:rFonts w:asciiTheme="minorHAnsi" w:eastAsia="Verdana" w:hAnsiTheme="minorHAnsi" w:cstheme="minorHAnsi"/>
          <w:lang w:val="bg-BG"/>
        </w:rPr>
      </w:pPr>
    </w:p>
    <w:p w14:paraId="257571F5" w14:textId="77777777" w:rsidR="007B68F6" w:rsidRPr="00201F33" w:rsidRDefault="007B68F6" w:rsidP="007B68F6">
      <w:pPr>
        <w:spacing w:before="120" w:after="120"/>
        <w:rPr>
          <w:rFonts w:asciiTheme="minorHAnsi" w:eastAsia="Verdana" w:hAnsiTheme="minorHAnsi" w:cstheme="minorHAnsi"/>
          <w:b/>
          <w:color w:val="0070C0"/>
          <w:sz w:val="22"/>
        </w:rPr>
      </w:pPr>
      <w:r w:rsidRPr="00015F3B">
        <w:rPr>
          <w:rFonts w:asciiTheme="minorHAnsi" w:eastAsia="Verdana" w:hAnsiTheme="minorHAnsi" w:cstheme="minorHAnsi"/>
          <w:color w:val="0070C0"/>
        </w:rPr>
        <w:t xml:space="preserve">Детето </w:t>
      </w:r>
      <w:r>
        <w:rPr>
          <w:rFonts w:asciiTheme="minorHAnsi" w:eastAsia="Verdana" w:hAnsiTheme="minorHAnsi" w:cstheme="minorHAnsi"/>
          <w:color w:val="0070C0"/>
          <w:lang w:val="bg-BG"/>
        </w:rPr>
        <w:t>се записва за посещаване на</w:t>
      </w:r>
      <w:r>
        <w:rPr>
          <w:rFonts w:asciiTheme="minorHAnsi" w:eastAsia="Verdana" w:hAnsiTheme="minorHAnsi" w:cstheme="minorHAnsi"/>
          <w:color w:val="0070C0"/>
        </w:rPr>
        <w:t xml:space="preserve"> </w:t>
      </w:r>
      <w:r>
        <w:rPr>
          <w:rFonts w:asciiTheme="minorHAnsi" w:eastAsia="Verdana" w:hAnsiTheme="minorHAnsi" w:cstheme="minorHAnsi"/>
          <w:color w:val="0070C0"/>
          <w:lang w:val="bg-BG"/>
        </w:rPr>
        <w:t>ДГ</w:t>
      </w:r>
      <w:r w:rsidRPr="00015F3B">
        <w:rPr>
          <w:rFonts w:asciiTheme="minorHAnsi" w:eastAsia="Verdana" w:hAnsiTheme="minorHAnsi" w:cstheme="minorHAnsi"/>
          <w:color w:val="0070C0"/>
        </w:rPr>
        <w:t xml:space="preserve"> </w:t>
      </w:r>
      <w:r>
        <w:rPr>
          <w:rFonts w:asciiTheme="minorHAnsi" w:eastAsia="Verdana" w:hAnsiTheme="minorHAnsi" w:cstheme="minorHAnsi"/>
          <w:color w:val="0070C0"/>
          <w:lang w:val="bg-BG"/>
        </w:rPr>
        <w:t>з</w:t>
      </w:r>
      <w:r w:rsidRPr="00015F3B">
        <w:rPr>
          <w:rFonts w:asciiTheme="minorHAnsi" w:eastAsia="Verdana" w:hAnsiTheme="minorHAnsi" w:cstheme="minorHAnsi"/>
          <w:color w:val="0070C0"/>
        </w:rPr>
        <w:t>а половин ден (</w:t>
      </w:r>
      <w:r>
        <w:rPr>
          <w:rFonts w:asciiTheme="minorHAnsi" w:eastAsia="Verdana" w:hAnsiTheme="minorHAnsi" w:cstheme="minorHAnsi"/>
          <w:color w:val="0070C0"/>
          <w:lang w:val="bg-BG"/>
        </w:rPr>
        <w:t xml:space="preserve">тръгване след </w:t>
      </w:r>
      <w:r w:rsidRPr="00015F3B">
        <w:rPr>
          <w:rFonts w:asciiTheme="minorHAnsi" w:eastAsia="Verdana" w:hAnsiTheme="minorHAnsi" w:cstheme="minorHAnsi"/>
          <w:color w:val="0070C0"/>
        </w:rPr>
        <w:t xml:space="preserve">обяд) или </w:t>
      </w:r>
      <w:r>
        <w:rPr>
          <w:rFonts w:asciiTheme="minorHAnsi" w:eastAsia="Verdana" w:hAnsiTheme="minorHAnsi" w:cstheme="minorHAnsi"/>
          <w:color w:val="0070C0"/>
          <w:lang w:val="bg-BG"/>
        </w:rPr>
        <w:t>за</w:t>
      </w:r>
      <w:r w:rsidRPr="00015F3B">
        <w:rPr>
          <w:rFonts w:asciiTheme="minorHAnsi" w:eastAsia="Verdana" w:hAnsiTheme="minorHAnsi" w:cstheme="minorHAnsi"/>
          <w:color w:val="0070C0"/>
        </w:rPr>
        <w:t xml:space="preserve"> ця</w:t>
      </w:r>
      <w:r>
        <w:rPr>
          <w:rFonts w:asciiTheme="minorHAnsi" w:eastAsia="Verdana" w:hAnsiTheme="minorHAnsi" w:cstheme="minorHAnsi"/>
          <w:color w:val="0070C0"/>
          <w:lang w:val="bg-BG"/>
        </w:rPr>
        <w:t>л</w:t>
      </w:r>
      <w:r w:rsidRPr="00015F3B">
        <w:rPr>
          <w:rFonts w:asciiTheme="minorHAnsi" w:eastAsia="Verdana" w:hAnsiTheme="minorHAnsi" w:cstheme="minorHAnsi"/>
          <w:color w:val="0070C0"/>
        </w:rPr>
        <w:t xml:space="preserve"> ден. </w:t>
      </w:r>
      <w:r>
        <w:rPr>
          <w:rFonts w:asciiTheme="minorHAnsi" w:eastAsia="Verdana" w:hAnsiTheme="minorHAnsi" w:cstheme="minorHAnsi"/>
          <w:color w:val="0070C0"/>
          <w:lang w:val="bg-BG"/>
        </w:rPr>
        <w:t>ДГ</w:t>
      </w:r>
      <w:r w:rsidRPr="00015F3B">
        <w:rPr>
          <w:rFonts w:asciiTheme="minorHAnsi" w:eastAsia="Verdana" w:hAnsiTheme="minorHAnsi" w:cstheme="minorHAnsi"/>
          <w:color w:val="0070C0"/>
        </w:rPr>
        <w:t xml:space="preserve"> обикновено </w:t>
      </w:r>
      <w:r>
        <w:rPr>
          <w:rFonts w:asciiTheme="minorHAnsi" w:eastAsia="Verdana" w:hAnsiTheme="minorHAnsi" w:cstheme="minorHAnsi"/>
          <w:color w:val="0070C0"/>
          <w:lang w:val="bg-BG"/>
        </w:rPr>
        <w:t>предоставя</w:t>
      </w:r>
      <w:r w:rsidRPr="00015F3B">
        <w:rPr>
          <w:rFonts w:asciiTheme="minorHAnsi" w:eastAsia="Verdana" w:hAnsiTheme="minorHAnsi" w:cstheme="minorHAnsi"/>
          <w:color w:val="0070C0"/>
        </w:rPr>
        <w:t xml:space="preserve"> </w:t>
      </w:r>
      <w:r>
        <w:rPr>
          <w:rFonts w:asciiTheme="minorHAnsi" w:eastAsia="Verdana" w:hAnsiTheme="minorHAnsi" w:cstheme="minorHAnsi"/>
          <w:color w:val="0070C0"/>
          <w:lang w:val="bg-BG"/>
        </w:rPr>
        <w:t xml:space="preserve">на детето </w:t>
      </w:r>
      <w:r w:rsidRPr="00015F3B">
        <w:rPr>
          <w:rFonts w:asciiTheme="minorHAnsi" w:eastAsia="Verdana" w:hAnsiTheme="minorHAnsi" w:cstheme="minorHAnsi"/>
          <w:color w:val="0070C0"/>
        </w:rPr>
        <w:t>сутрешна закуска, обяд и следобедна закуска, включително напитки.</w:t>
      </w:r>
    </w:p>
    <w:p w14:paraId="25A17A2E" w14:textId="77777777" w:rsidR="007B68F6" w:rsidRPr="00201F33" w:rsidRDefault="007B68F6" w:rsidP="007B68F6">
      <w:pPr>
        <w:spacing w:before="120" w:after="120"/>
        <w:rPr>
          <w:rFonts w:asciiTheme="minorHAnsi" w:eastAsia="Verdana" w:hAnsiTheme="minorHAnsi" w:cstheme="minorHAnsi"/>
          <w:color w:val="0070C0"/>
        </w:rPr>
      </w:pPr>
      <w:r w:rsidRPr="004A3BFF">
        <w:rPr>
          <w:rFonts w:asciiTheme="minorHAnsi" w:eastAsia="Verdana" w:hAnsiTheme="minorHAnsi" w:cstheme="minorHAnsi"/>
          <w:color w:val="0070C0"/>
        </w:rPr>
        <w:t xml:space="preserve">Учебната година в </w:t>
      </w:r>
      <w:r>
        <w:rPr>
          <w:rFonts w:asciiTheme="minorHAnsi" w:eastAsia="Verdana" w:hAnsiTheme="minorHAnsi" w:cstheme="minorHAnsi"/>
          <w:color w:val="0070C0"/>
          <w:lang w:val="bg-BG"/>
        </w:rPr>
        <w:t>ДГ</w:t>
      </w:r>
      <w:r w:rsidRPr="004A3BFF">
        <w:rPr>
          <w:rFonts w:asciiTheme="minorHAnsi" w:eastAsia="Verdana" w:hAnsiTheme="minorHAnsi" w:cstheme="minorHAnsi"/>
          <w:color w:val="0070C0"/>
        </w:rPr>
        <w:t xml:space="preserve"> започва на 1</w:t>
      </w:r>
      <w:r>
        <w:rPr>
          <w:rFonts w:asciiTheme="minorHAnsi" w:eastAsia="Verdana" w:hAnsiTheme="minorHAnsi" w:cstheme="minorHAnsi"/>
          <w:color w:val="0070C0"/>
          <w:lang w:val="bg-BG"/>
        </w:rPr>
        <w:t>.</w:t>
      </w:r>
      <w:r w:rsidRPr="004A3BFF">
        <w:rPr>
          <w:rFonts w:asciiTheme="minorHAnsi" w:eastAsia="Verdana" w:hAnsiTheme="minorHAnsi" w:cstheme="minorHAnsi"/>
          <w:color w:val="0070C0"/>
        </w:rPr>
        <w:t xml:space="preserve"> септември и завършва на 30</w:t>
      </w:r>
      <w:r>
        <w:rPr>
          <w:rFonts w:asciiTheme="minorHAnsi" w:eastAsia="Verdana" w:hAnsiTheme="minorHAnsi" w:cstheme="minorHAnsi"/>
          <w:color w:val="0070C0"/>
          <w:lang w:val="bg-BG"/>
        </w:rPr>
        <w:t>.</w:t>
      </w:r>
      <w:r w:rsidRPr="004A3BFF">
        <w:rPr>
          <w:rFonts w:asciiTheme="minorHAnsi" w:eastAsia="Verdana" w:hAnsiTheme="minorHAnsi" w:cstheme="minorHAnsi"/>
          <w:color w:val="0070C0"/>
        </w:rPr>
        <w:t xml:space="preserve"> юни, само няко</w:t>
      </w:r>
      <w:r>
        <w:rPr>
          <w:rFonts w:asciiTheme="minorHAnsi" w:eastAsia="Verdana" w:hAnsiTheme="minorHAnsi" w:cstheme="minorHAnsi"/>
          <w:color w:val="0070C0"/>
          <w:lang w:val="bg-BG"/>
        </w:rPr>
        <w:t>и</w:t>
      </w:r>
      <w:r>
        <w:rPr>
          <w:rFonts w:asciiTheme="minorHAnsi" w:eastAsia="Verdana" w:hAnsiTheme="minorHAnsi" w:cstheme="minorHAnsi"/>
          <w:color w:val="0070C0"/>
        </w:rPr>
        <w:t xml:space="preserve"> </w:t>
      </w:r>
      <w:r>
        <w:rPr>
          <w:rFonts w:asciiTheme="minorHAnsi" w:eastAsia="Verdana" w:hAnsiTheme="minorHAnsi" w:cstheme="minorHAnsi"/>
          <w:color w:val="0070C0"/>
          <w:lang w:val="bg-BG"/>
        </w:rPr>
        <w:t>ДГ</w:t>
      </w:r>
      <w:r w:rsidRPr="004A3BFF">
        <w:rPr>
          <w:rFonts w:asciiTheme="minorHAnsi" w:eastAsia="Verdana" w:hAnsiTheme="minorHAnsi" w:cstheme="minorHAnsi"/>
          <w:color w:val="0070C0"/>
        </w:rPr>
        <w:t xml:space="preserve"> са отворени през юли и август </w:t>
      </w:r>
      <w:r>
        <w:rPr>
          <w:rFonts w:asciiTheme="minorHAnsi" w:eastAsia="Verdana" w:hAnsiTheme="minorHAnsi" w:cstheme="minorHAnsi"/>
          <w:color w:val="0070C0"/>
          <w:lang w:val="bg-BG"/>
        </w:rPr>
        <w:t>и</w:t>
      </w:r>
      <w:r>
        <w:rPr>
          <w:rFonts w:asciiTheme="minorHAnsi" w:eastAsia="Verdana" w:hAnsiTheme="minorHAnsi" w:cstheme="minorHAnsi"/>
          <w:color w:val="0070C0"/>
        </w:rPr>
        <w:t xml:space="preserve"> </w:t>
      </w:r>
      <w:r>
        <w:rPr>
          <w:rFonts w:asciiTheme="minorHAnsi" w:eastAsia="Verdana" w:hAnsiTheme="minorHAnsi" w:cstheme="minorHAnsi"/>
          <w:color w:val="0070C0"/>
          <w:lang w:val="bg-BG"/>
        </w:rPr>
        <w:t xml:space="preserve">детското </w:t>
      </w:r>
      <w:r>
        <w:rPr>
          <w:rFonts w:asciiTheme="minorHAnsi" w:eastAsia="Verdana" w:hAnsiTheme="minorHAnsi" w:cstheme="minorHAnsi"/>
          <w:color w:val="0070C0"/>
        </w:rPr>
        <w:t>посещ</w:t>
      </w:r>
      <w:r>
        <w:rPr>
          <w:rFonts w:asciiTheme="minorHAnsi" w:eastAsia="Verdana" w:hAnsiTheme="minorHAnsi" w:cstheme="minorHAnsi"/>
          <w:color w:val="0070C0"/>
          <w:lang w:val="bg-BG"/>
        </w:rPr>
        <w:t>аване</w:t>
      </w:r>
      <w:r w:rsidRPr="004A3BFF">
        <w:rPr>
          <w:rFonts w:asciiTheme="minorHAnsi" w:eastAsia="Verdana" w:hAnsiTheme="minorHAnsi" w:cstheme="minorHAnsi"/>
          <w:color w:val="0070C0"/>
        </w:rPr>
        <w:t xml:space="preserve"> се ръководи от специални правила. </w:t>
      </w:r>
      <w:r>
        <w:rPr>
          <w:rFonts w:asciiTheme="minorHAnsi" w:eastAsia="Verdana" w:hAnsiTheme="minorHAnsi" w:cstheme="minorHAnsi"/>
          <w:color w:val="0070C0"/>
          <w:lang w:val="bg-BG"/>
        </w:rPr>
        <w:t>Д</w:t>
      </w:r>
      <w:r w:rsidRPr="004A3BFF">
        <w:rPr>
          <w:rFonts w:asciiTheme="minorHAnsi" w:eastAsia="Verdana" w:hAnsiTheme="minorHAnsi" w:cstheme="minorHAnsi"/>
          <w:color w:val="0070C0"/>
        </w:rPr>
        <w:t>еца</w:t>
      </w:r>
      <w:r>
        <w:rPr>
          <w:rFonts w:asciiTheme="minorHAnsi" w:eastAsia="Verdana" w:hAnsiTheme="minorHAnsi" w:cstheme="minorHAnsi"/>
          <w:color w:val="0070C0"/>
          <w:lang w:val="bg-BG"/>
        </w:rPr>
        <w:t xml:space="preserve">та </w:t>
      </w:r>
      <w:r w:rsidRPr="004A3BFF">
        <w:rPr>
          <w:rFonts w:asciiTheme="minorHAnsi" w:eastAsia="Verdana" w:hAnsiTheme="minorHAnsi" w:cstheme="minorHAnsi"/>
          <w:color w:val="0070C0"/>
        </w:rPr>
        <w:t>с</w:t>
      </w:r>
      <w:r>
        <w:rPr>
          <w:rFonts w:asciiTheme="minorHAnsi" w:eastAsia="Verdana" w:hAnsiTheme="minorHAnsi" w:cstheme="minorHAnsi"/>
          <w:color w:val="0070C0"/>
          <w:lang w:val="bg-BG"/>
        </w:rPr>
        <w:t>а</w:t>
      </w:r>
      <w:r w:rsidRPr="004A3BFF">
        <w:rPr>
          <w:rFonts w:asciiTheme="minorHAnsi" w:eastAsia="Verdana" w:hAnsiTheme="minorHAnsi" w:cstheme="minorHAnsi"/>
          <w:color w:val="0070C0"/>
        </w:rPr>
        <w:t xml:space="preserve"> </w:t>
      </w:r>
      <w:r>
        <w:rPr>
          <w:rFonts w:asciiTheme="minorHAnsi" w:eastAsia="Verdana" w:hAnsiTheme="minorHAnsi" w:cstheme="minorHAnsi"/>
          <w:color w:val="0070C0"/>
          <w:lang w:val="bg-BG"/>
        </w:rPr>
        <w:t xml:space="preserve">настанени в групите </w:t>
      </w:r>
      <w:r w:rsidRPr="004A3BFF">
        <w:rPr>
          <w:rFonts w:asciiTheme="minorHAnsi" w:eastAsia="Verdana" w:hAnsiTheme="minorHAnsi" w:cstheme="minorHAnsi"/>
          <w:color w:val="0070C0"/>
        </w:rPr>
        <w:t xml:space="preserve">по възраст или са в </w:t>
      </w:r>
      <w:r>
        <w:rPr>
          <w:rFonts w:asciiTheme="minorHAnsi" w:eastAsia="Verdana" w:hAnsiTheme="minorHAnsi" w:cstheme="minorHAnsi"/>
          <w:color w:val="0070C0"/>
          <w:lang w:val="bg-BG"/>
        </w:rPr>
        <w:t>групи</w:t>
      </w:r>
      <w:r>
        <w:rPr>
          <w:rFonts w:asciiTheme="minorHAnsi" w:eastAsia="Verdana" w:hAnsiTheme="minorHAnsi" w:cstheme="minorHAnsi"/>
          <w:color w:val="0070C0"/>
        </w:rPr>
        <w:t xml:space="preserve"> със смесена възраст. </w:t>
      </w:r>
      <w:r>
        <w:rPr>
          <w:rFonts w:asciiTheme="minorHAnsi" w:eastAsia="Verdana" w:hAnsiTheme="minorHAnsi" w:cstheme="minorHAnsi"/>
          <w:color w:val="0070C0"/>
          <w:lang w:val="bg-BG"/>
        </w:rPr>
        <w:t>Група</w:t>
      </w:r>
      <w:r w:rsidRPr="004A3BFF">
        <w:rPr>
          <w:rFonts w:asciiTheme="minorHAnsi" w:eastAsia="Verdana" w:hAnsiTheme="minorHAnsi" w:cstheme="minorHAnsi"/>
          <w:color w:val="0070C0"/>
        </w:rPr>
        <w:t xml:space="preserve"> от до 24-28 деца се ръководи от дв</w:t>
      </w:r>
      <w:r>
        <w:rPr>
          <w:rFonts w:asciiTheme="minorHAnsi" w:eastAsia="Verdana" w:hAnsiTheme="minorHAnsi" w:cstheme="minorHAnsi"/>
          <w:color w:val="0070C0"/>
          <w:lang w:val="bg-BG"/>
        </w:rPr>
        <w:t>е</w:t>
      </w:r>
      <w:r w:rsidRPr="004A3BFF">
        <w:rPr>
          <w:rFonts w:asciiTheme="minorHAnsi" w:eastAsia="Verdana" w:hAnsiTheme="minorHAnsi" w:cstheme="minorHAnsi"/>
          <w:color w:val="0070C0"/>
        </w:rPr>
        <w:t xml:space="preserve"> учител</w:t>
      </w:r>
      <w:r>
        <w:rPr>
          <w:rFonts w:asciiTheme="minorHAnsi" w:eastAsia="Verdana" w:hAnsiTheme="minorHAnsi" w:cstheme="minorHAnsi"/>
          <w:color w:val="0070C0"/>
          <w:lang w:val="bg-BG"/>
        </w:rPr>
        <w:t>к</w:t>
      </w:r>
      <w:r w:rsidRPr="004A3BFF">
        <w:rPr>
          <w:rFonts w:asciiTheme="minorHAnsi" w:eastAsia="Verdana" w:hAnsiTheme="minorHAnsi" w:cstheme="minorHAnsi"/>
          <w:color w:val="0070C0"/>
        </w:rPr>
        <w:t>и. Д</w:t>
      </w:r>
      <w:r>
        <w:rPr>
          <w:rFonts w:asciiTheme="minorHAnsi" w:eastAsia="Verdana" w:hAnsiTheme="minorHAnsi" w:cstheme="minorHAnsi"/>
          <w:color w:val="0070C0"/>
          <w:lang w:val="bg-BG"/>
        </w:rPr>
        <w:t>Г</w:t>
      </w:r>
      <w:r w:rsidRPr="004A3BFF">
        <w:rPr>
          <w:rFonts w:asciiTheme="minorHAnsi" w:eastAsia="Verdana" w:hAnsiTheme="minorHAnsi" w:cstheme="minorHAnsi"/>
          <w:color w:val="0070C0"/>
        </w:rPr>
        <w:t xml:space="preserve"> се управлява от директор</w:t>
      </w:r>
      <w:r>
        <w:rPr>
          <w:rFonts w:asciiTheme="minorHAnsi" w:eastAsia="Verdana" w:hAnsiTheme="minorHAnsi" w:cstheme="minorHAnsi"/>
          <w:color w:val="0070C0"/>
          <w:lang w:val="bg-BG"/>
        </w:rPr>
        <w:t>к</w:t>
      </w:r>
      <w:r>
        <w:rPr>
          <w:rFonts w:asciiTheme="minorHAnsi" w:eastAsia="Verdana" w:hAnsiTheme="minorHAnsi" w:cstheme="minorHAnsi"/>
          <w:color w:val="0070C0"/>
        </w:rPr>
        <w:t>а, ко</w:t>
      </w:r>
      <w:r>
        <w:rPr>
          <w:rFonts w:asciiTheme="minorHAnsi" w:eastAsia="Verdana" w:hAnsiTheme="minorHAnsi" w:cstheme="minorHAnsi"/>
          <w:color w:val="0070C0"/>
          <w:lang w:val="bg-BG"/>
        </w:rPr>
        <w:t>я</w:t>
      </w:r>
      <w:r>
        <w:rPr>
          <w:rFonts w:asciiTheme="minorHAnsi" w:eastAsia="Verdana" w:hAnsiTheme="minorHAnsi" w:cstheme="minorHAnsi"/>
          <w:color w:val="0070C0"/>
        </w:rPr>
        <w:t xml:space="preserve">то отговаря за </w:t>
      </w:r>
      <w:r>
        <w:rPr>
          <w:rFonts w:asciiTheme="minorHAnsi" w:eastAsia="Verdana" w:hAnsiTheme="minorHAnsi" w:cstheme="minorHAnsi"/>
          <w:color w:val="0070C0"/>
          <w:lang w:val="bg-BG"/>
        </w:rPr>
        <w:t xml:space="preserve">приемането </w:t>
      </w:r>
      <w:r w:rsidRPr="004A3BFF">
        <w:rPr>
          <w:rFonts w:asciiTheme="minorHAnsi" w:eastAsia="Verdana" w:hAnsiTheme="minorHAnsi" w:cstheme="minorHAnsi"/>
          <w:color w:val="0070C0"/>
        </w:rPr>
        <w:t>на детето.</w:t>
      </w:r>
    </w:p>
    <w:p w14:paraId="663E4A0A" w14:textId="6D7823E1" w:rsidR="00201F33" w:rsidRDefault="00201F33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2D3EDA60" w14:textId="77777777" w:rsidR="00201F33" w:rsidRDefault="00201F33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578D5169" w14:textId="77777777" w:rsidR="00201F33" w:rsidRDefault="00201F33" w:rsidP="00A10A51">
      <w:pPr>
        <w:spacing w:before="120" w:after="120"/>
        <w:rPr>
          <w:rFonts w:asciiTheme="minorHAnsi" w:eastAsia="Verdana" w:hAnsiTheme="minorHAnsi" w:cstheme="minorHAnsi"/>
        </w:rPr>
      </w:pPr>
      <w:bookmarkStart w:id="0" w:name="_GoBack"/>
      <w:bookmarkEnd w:id="0"/>
    </w:p>
    <w:p w14:paraId="6BFE74D2" w14:textId="77777777" w:rsidR="00201F33" w:rsidRDefault="00201F33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652BFF7B" w14:textId="77777777" w:rsidR="00201F33" w:rsidRDefault="00201F33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74301365" w14:textId="77777777" w:rsidR="00201F33" w:rsidRDefault="00201F33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6D7133DC" w14:textId="77777777" w:rsidR="00201F33" w:rsidRDefault="00201F33" w:rsidP="00A10A51">
      <w:pPr>
        <w:spacing w:before="120" w:after="120"/>
        <w:rPr>
          <w:rFonts w:asciiTheme="minorHAnsi" w:eastAsia="Verdana" w:hAnsiTheme="minorHAnsi" w:cstheme="minorHAnsi"/>
        </w:rPr>
      </w:pPr>
    </w:p>
    <w:p w14:paraId="4E17C7CF" w14:textId="063517D0" w:rsidR="00A10A51" w:rsidRPr="00A10A51" w:rsidRDefault="00A10A51" w:rsidP="00A10A51">
      <w:pPr>
        <w:spacing w:before="120" w:after="120"/>
        <w:rPr>
          <w:rFonts w:asciiTheme="minorHAnsi" w:eastAsia="Verdana" w:hAnsiTheme="minorHAnsi" w:cstheme="minorHAnsi"/>
        </w:rPr>
        <w:sectPr w:rsidR="00A10A51" w:rsidRPr="00A10A51" w:rsidSect="00A10A51">
          <w:headerReference w:type="default" r:id="rId18"/>
          <w:footerReference w:type="default" r:id="rId19"/>
          <w:type w:val="continuous"/>
          <w:pgSz w:w="16838" w:h="11906" w:orient="landscape"/>
          <w:pgMar w:top="1134" w:right="567" w:bottom="1134" w:left="567" w:header="284" w:footer="283" w:gutter="0"/>
          <w:pgNumType w:start="2"/>
          <w:cols w:num="2" w:space="708"/>
          <w:docGrid w:linePitch="360"/>
        </w:sectPr>
      </w:pPr>
    </w:p>
    <w:p w14:paraId="6755488E" w14:textId="165CDCD7" w:rsidR="00194EA1" w:rsidRPr="00A10A51" w:rsidRDefault="00194EA1" w:rsidP="00A10A51">
      <w:pPr>
        <w:spacing w:before="120" w:after="120"/>
        <w:rPr>
          <w:rFonts w:asciiTheme="minorHAnsi" w:eastAsia="Verdana" w:hAnsiTheme="minorHAnsi" w:cstheme="minorHAnsi"/>
        </w:rPr>
      </w:pPr>
    </w:p>
    <w:sectPr w:rsidR="00194EA1" w:rsidRPr="00A10A51" w:rsidSect="00A10A51">
      <w:type w:val="continuous"/>
      <w:pgSz w:w="16838" w:h="11906" w:orient="landscape"/>
      <w:pgMar w:top="1134" w:right="567" w:bottom="1134" w:left="567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9A485" w14:textId="77777777" w:rsidR="006A5025" w:rsidRDefault="006A5025">
      <w:pPr>
        <w:spacing w:after="0" w:line="240" w:lineRule="auto"/>
      </w:pPr>
      <w:r>
        <w:separator/>
      </w:r>
    </w:p>
  </w:endnote>
  <w:endnote w:type="continuationSeparator" w:id="0">
    <w:p w14:paraId="5C793E54" w14:textId="77777777" w:rsidR="006A5025" w:rsidRDefault="006A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3FB2" w14:textId="77777777" w:rsidR="0061215F" w:rsidRDefault="006121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59D4" w14:textId="77777777" w:rsidR="0061215F" w:rsidRDefault="0061215F" w:rsidP="0061215F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41F220A" w14:textId="374E1622" w:rsidR="0061215F" w:rsidRDefault="0061215F" w:rsidP="0061215F">
    <w:pPr>
      <w:pStyle w:val="Zpat"/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1F3DCCAC" wp14:editId="018A7243">
          <wp:extent cx="704850" cy="4762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0E1A9F8" wp14:editId="72CBC8ED">
          <wp:extent cx="1676400" cy="47625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C424D83" wp14:editId="54149EED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BE3B6" w14:textId="77777777" w:rsidR="0061215F" w:rsidRDefault="0061215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367912"/>
      <w:docPartObj>
        <w:docPartGallery w:val="Page Numbers (Bottom of Page)"/>
        <w:docPartUnique/>
      </w:docPartObj>
    </w:sdtPr>
    <w:sdtEndPr/>
    <w:sdtContent>
      <w:p w14:paraId="0EB546F9" w14:textId="1EA70DF3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F6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94F65" w14:textId="77777777" w:rsidR="006A5025" w:rsidRDefault="006A5025">
      <w:pPr>
        <w:spacing w:after="0" w:line="240" w:lineRule="auto"/>
      </w:pPr>
      <w:r>
        <w:separator/>
      </w:r>
    </w:p>
  </w:footnote>
  <w:footnote w:type="continuationSeparator" w:id="0">
    <w:p w14:paraId="7DFDB365" w14:textId="77777777" w:rsidR="006A5025" w:rsidRDefault="006A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9D7C" w14:textId="77777777" w:rsidR="0061215F" w:rsidRDefault="006121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6233" w14:textId="3F2C6D8A" w:rsidR="0061215F" w:rsidRDefault="0061215F" w:rsidP="0061215F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F8DE87E" wp14:editId="407E0FAE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8" name="Obrázek 8" descr="inkluzivni_skol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inkluzivni_skola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21CF8E6" wp14:editId="4D6F0305">
          <wp:extent cx="962025" cy="495300"/>
          <wp:effectExtent l="0" t="0" r="9525" b="0"/>
          <wp:docPr id="9" name="Obrázek 9" descr="logo - META ops - cz - male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 - META ops - cz - male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</w:t>
    </w:r>
  </w:p>
  <w:p w14:paraId="541525C7" w14:textId="77777777" w:rsidR="0061215F" w:rsidRDefault="0061215F" w:rsidP="0061215F">
    <w:pPr>
      <w:spacing w:after="0" w:line="240" w:lineRule="auto"/>
      <w:rPr>
        <w:i/>
        <w:sz w:val="16"/>
        <w:szCs w:val="16"/>
      </w:rPr>
    </w:pPr>
  </w:p>
  <w:p w14:paraId="4A5728D2" w14:textId="77777777" w:rsidR="0061215F" w:rsidRDefault="0061215F" w:rsidP="0061215F">
    <w:pPr>
      <w:spacing w:after="0" w:line="240" w:lineRule="auto"/>
      <w:rPr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3005F41B" w14:textId="77777777" w:rsidR="0061215F" w:rsidRDefault="006121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8FD7" w14:textId="77777777" w:rsidR="0061215F" w:rsidRDefault="0061215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27F73" w14:textId="77777777" w:rsidR="00350389" w:rsidRDefault="00350389" w:rsidP="00350389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13D00897" wp14:editId="2EE649F8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3" name="Obrázek 13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3B08303" wp14:editId="359EF4B7">
          <wp:extent cx="961478" cy="493200"/>
          <wp:effectExtent l="0" t="0" r="0" b="2540"/>
          <wp:docPr id="14" name="Obrázek 14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15F3B"/>
    <w:rsid w:val="0002012F"/>
    <w:rsid w:val="00027D10"/>
    <w:rsid w:val="0003340B"/>
    <w:rsid w:val="000401FE"/>
    <w:rsid w:val="000A050F"/>
    <w:rsid w:val="000A2C8A"/>
    <w:rsid w:val="000C6D49"/>
    <w:rsid w:val="000F1B8E"/>
    <w:rsid w:val="001231A8"/>
    <w:rsid w:val="001346EF"/>
    <w:rsid w:val="0015285E"/>
    <w:rsid w:val="00154B47"/>
    <w:rsid w:val="001647BB"/>
    <w:rsid w:val="00194EA1"/>
    <w:rsid w:val="001A2677"/>
    <w:rsid w:val="001D3762"/>
    <w:rsid w:val="00201F33"/>
    <w:rsid w:val="0022011A"/>
    <w:rsid w:val="00227AB5"/>
    <w:rsid w:val="00266950"/>
    <w:rsid w:val="00270914"/>
    <w:rsid w:val="002872BA"/>
    <w:rsid w:val="002949D9"/>
    <w:rsid w:val="002A4349"/>
    <w:rsid w:val="002B5660"/>
    <w:rsid w:val="00312298"/>
    <w:rsid w:val="003363D1"/>
    <w:rsid w:val="00344BBB"/>
    <w:rsid w:val="00346EF5"/>
    <w:rsid w:val="00350389"/>
    <w:rsid w:val="00353194"/>
    <w:rsid w:val="00364C69"/>
    <w:rsid w:val="00393435"/>
    <w:rsid w:val="003C6C73"/>
    <w:rsid w:val="004204DC"/>
    <w:rsid w:val="004262AE"/>
    <w:rsid w:val="0045262C"/>
    <w:rsid w:val="00485C7B"/>
    <w:rsid w:val="004923A4"/>
    <w:rsid w:val="004A3BFF"/>
    <w:rsid w:val="004C4239"/>
    <w:rsid w:val="004D517F"/>
    <w:rsid w:val="004E5C1A"/>
    <w:rsid w:val="00503C1B"/>
    <w:rsid w:val="0051686C"/>
    <w:rsid w:val="00571D1D"/>
    <w:rsid w:val="005B63FE"/>
    <w:rsid w:val="005C4517"/>
    <w:rsid w:val="005C5F62"/>
    <w:rsid w:val="005D20C2"/>
    <w:rsid w:val="0061215F"/>
    <w:rsid w:val="00617E11"/>
    <w:rsid w:val="00623418"/>
    <w:rsid w:val="006745D9"/>
    <w:rsid w:val="006A5025"/>
    <w:rsid w:val="006B085F"/>
    <w:rsid w:val="006B22FC"/>
    <w:rsid w:val="006D003E"/>
    <w:rsid w:val="0070742C"/>
    <w:rsid w:val="00732A0D"/>
    <w:rsid w:val="00736C05"/>
    <w:rsid w:val="00760C10"/>
    <w:rsid w:val="007774DF"/>
    <w:rsid w:val="0078442F"/>
    <w:rsid w:val="007B58DE"/>
    <w:rsid w:val="007B68F6"/>
    <w:rsid w:val="00840FA6"/>
    <w:rsid w:val="008468F1"/>
    <w:rsid w:val="00853AD8"/>
    <w:rsid w:val="008A76A6"/>
    <w:rsid w:val="008A7FAB"/>
    <w:rsid w:val="008B15C8"/>
    <w:rsid w:val="008D29CA"/>
    <w:rsid w:val="008D5A04"/>
    <w:rsid w:val="0093783D"/>
    <w:rsid w:val="00962592"/>
    <w:rsid w:val="00995551"/>
    <w:rsid w:val="009E6F3A"/>
    <w:rsid w:val="009F2AAE"/>
    <w:rsid w:val="00A10A51"/>
    <w:rsid w:val="00A1606E"/>
    <w:rsid w:val="00A168DD"/>
    <w:rsid w:val="00A345CE"/>
    <w:rsid w:val="00A83786"/>
    <w:rsid w:val="00AA6A17"/>
    <w:rsid w:val="00AC6B51"/>
    <w:rsid w:val="00AD6CA2"/>
    <w:rsid w:val="00B05B06"/>
    <w:rsid w:val="00B72082"/>
    <w:rsid w:val="00BB2952"/>
    <w:rsid w:val="00BD496D"/>
    <w:rsid w:val="00C205C1"/>
    <w:rsid w:val="00C524A7"/>
    <w:rsid w:val="00C75AB9"/>
    <w:rsid w:val="00C86BB2"/>
    <w:rsid w:val="00CC5502"/>
    <w:rsid w:val="00CF34AF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170A0"/>
    <w:rsid w:val="00E22B7F"/>
    <w:rsid w:val="00E25221"/>
    <w:rsid w:val="00E47461"/>
    <w:rsid w:val="00E60A81"/>
    <w:rsid w:val="00EB6513"/>
    <w:rsid w:val="00EC3C50"/>
    <w:rsid w:val="00EC6237"/>
    <w:rsid w:val="00EF03D6"/>
    <w:rsid w:val="00EF6E00"/>
    <w:rsid w:val="00F15744"/>
    <w:rsid w:val="00F3282B"/>
    <w:rsid w:val="00F8435E"/>
    <w:rsid w:val="00F93992"/>
    <w:rsid w:val="00FB4281"/>
    <w:rsid w:val="00FF3A60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5274E9"/>
  <w15:docId w15:val="{6BC3C364-099B-456B-BAFA-E5895B59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73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10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UHRUZACKTJEK-540971305-181139</_dlc_DocId>
    <_dlc_DocIdUrl xmlns="889b5d77-561b-4745-9149-1638f0c8024a">
      <Url>https://metaops.sharepoint.com/sites/disk/_layouts/15/DocIdRedir.aspx?ID=UHRUZACKTJEK-540971305-181139</Url>
      <Description>UHRUZACKTJEK-540971305-181139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89b5d77-561b-4745-9149-1638f0c8024a"/>
    <ds:schemaRef ds:uri="http://purl.org/dc/terms/"/>
    <ds:schemaRef ds:uri="c2a121c6-94b7-4d58-84be-104b400a7aae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A1F6E6-360F-4470-B5C5-ACBC1B662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B77A7E-E2CA-43A7-8AB6-E832CAB9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Kristýna Chmelíková</cp:lastModifiedBy>
  <cp:revision>12</cp:revision>
  <cp:lastPrinted>2018-01-10T14:49:00Z</cp:lastPrinted>
  <dcterms:created xsi:type="dcterms:W3CDTF">2018-12-02T22:57:00Z</dcterms:created>
  <dcterms:modified xsi:type="dcterms:W3CDTF">2019-06-28T08:06:00Z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ec72382c-09e0-40da-ab78-b475906ff9a9</vt:lpwstr>
  </property>
  <property fmtid="{D5CDD505-2E9C-101B-9397-08002B2CF9AE}" pid="4" name="AuthorIds_UIVersion_1536">
    <vt:lpwstr>94</vt:lpwstr>
  </property>
</Properties>
</file>