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2AB0" w14:textId="77777777" w:rsidR="004E3E42" w:rsidRDefault="004E3E42" w:rsidP="004E3E42">
      <w:pPr>
        <w:spacing w:after="0"/>
        <w:rPr>
          <w:b/>
        </w:rPr>
      </w:pPr>
      <w:r w:rsidRPr="004E3E42">
        <w:rPr>
          <w:b/>
        </w:rPr>
        <w:t>Matematika a žáci s</w:t>
      </w:r>
      <w:r>
        <w:rPr>
          <w:b/>
        </w:rPr>
        <w:t> </w:t>
      </w:r>
      <w:r w:rsidRPr="004E3E42">
        <w:rPr>
          <w:b/>
        </w:rPr>
        <w:t>OMJ</w:t>
      </w:r>
    </w:p>
    <w:p w14:paraId="05B56D9E" w14:textId="77777777" w:rsidR="004E3E42" w:rsidRPr="004E3E42" w:rsidRDefault="004E3E42" w:rsidP="004E3E42">
      <w:pPr>
        <w:spacing w:after="0"/>
        <w:rPr>
          <w:b/>
        </w:rPr>
      </w:pPr>
    </w:p>
    <w:p w14:paraId="1C3B0B69" w14:textId="77777777" w:rsidR="004E3E42" w:rsidRDefault="004E3E42" w:rsidP="004E3E42">
      <w:pPr>
        <w:spacing w:after="0"/>
      </w:pPr>
      <w:r w:rsidRPr="004E3E42">
        <w:t xml:space="preserve">Ze zkušeností mnoha </w:t>
      </w:r>
      <w:r>
        <w:t>učitelů</w:t>
      </w:r>
      <w:r w:rsidR="00AC0EAB">
        <w:t xml:space="preserve"> matematiky </w:t>
      </w:r>
      <w:r>
        <w:t xml:space="preserve">vyplývá, že matematika pro žáky </w:t>
      </w:r>
      <w:r w:rsidR="00AC0EAB">
        <w:t>odlišným mateřským jazykem</w:t>
      </w:r>
      <w:r>
        <w:t> </w:t>
      </w:r>
      <w:r w:rsidR="00AC0EAB">
        <w:t xml:space="preserve">(OMJ) </w:t>
      </w:r>
      <w:r>
        <w:t xml:space="preserve">nepředstavuje takový problém jako ostatní naučné předměty. Je to dáno především univerzálností matematiky díky používání „jazyka“, který je celosvětově sdílen a rozšířen. Nejvíce se to týká </w:t>
      </w:r>
      <w:r w:rsidRPr="004E3E42">
        <w:rPr>
          <w:b/>
        </w:rPr>
        <w:t>algebry</w:t>
      </w:r>
      <w:r>
        <w:rPr>
          <w:b/>
        </w:rPr>
        <w:t>,</w:t>
      </w:r>
      <w:r w:rsidRPr="004E3E42">
        <w:t xml:space="preserve"> protože</w:t>
      </w:r>
      <w:r>
        <w:rPr>
          <w:b/>
        </w:rPr>
        <w:t xml:space="preserve"> </w:t>
      </w:r>
      <w:r w:rsidRPr="004E3E42">
        <w:t xml:space="preserve">čísla, symboly, písmena a rovnice </w:t>
      </w:r>
      <w:r>
        <w:t>jsou všude stejné a zákonitosti jsou přenositelné i bez znalosti jazyka.</w:t>
      </w:r>
    </w:p>
    <w:p w14:paraId="203179C9" w14:textId="77777777" w:rsidR="004E3E42" w:rsidRPr="004E3E42" w:rsidRDefault="004E3E42" w:rsidP="004E3E42">
      <w:pPr>
        <w:spacing w:after="0"/>
      </w:pPr>
      <w:r>
        <w:t>Matematika je</w:t>
      </w:r>
      <w:r w:rsidR="00AC0EAB">
        <w:t xml:space="preserve"> proto </w:t>
      </w:r>
      <w:r>
        <w:t>velmi často mezi žáky s OMJ považována za nejoblíbenější předmět, protože v ní mohou zažívat úspěch prakticky okamžitě</w:t>
      </w:r>
      <w:r w:rsidR="00AC0EAB">
        <w:t xml:space="preserve"> po nástupu do české školy</w:t>
      </w:r>
      <w:r>
        <w:t xml:space="preserve">. </w:t>
      </w:r>
      <w:r w:rsidR="00AC0EAB">
        <w:t>V běžné výuce, kde jim v ostatních předmětech brání neznalost vyučovacího jazyka, mohou</w:t>
      </w:r>
      <w:r>
        <w:t xml:space="preserve"> </w:t>
      </w:r>
      <w:r w:rsidR="00AC0EAB">
        <w:t xml:space="preserve">v matematice </w:t>
      </w:r>
      <w:r>
        <w:t xml:space="preserve">normálně pracovat s ostatními a </w:t>
      </w:r>
      <w:r w:rsidR="00AC0EAB">
        <w:t xml:space="preserve">mnohdy i </w:t>
      </w:r>
      <w:r>
        <w:t>ukázat, že jsou v něčem dobří</w:t>
      </w:r>
      <w:r w:rsidR="00AC0EAB">
        <w:t>, že nejsou „hloupí“, že jsou srovnatelní se spolužáky</w:t>
      </w:r>
      <w:r>
        <w:t>. To je pro děti velká motivace. Někdy si dokonce v matematice kompenzují svoje neúspěchy v jiných oblastech</w:t>
      </w:r>
      <w:r w:rsidR="00AC0EAB">
        <w:t xml:space="preserve"> a začnou v ní opravdu vynikat</w:t>
      </w:r>
      <w:r>
        <w:t>.</w:t>
      </w:r>
    </w:p>
    <w:p w14:paraId="2519E82A" w14:textId="77777777" w:rsidR="004E3E42" w:rsidRDefault="004E3E42" w:rsidP="004E3E42">
      <w:pPr>
        <w:spacing w:after="0"/>
      </w:pPr>
    </w:p>
    <w:p w14:paraId="6DEC6C6C" w14:textId="77777777" w:rsidR="00AC0EAB" w:rsidRDefault="00AC0EAB" w:rsidP="004E3E42">
      <w:pPr>
        <w:spacing w:after="0"/>
      </w:pPr>
      <w:r>
        <w:t>Přesto jsou i v matematice oblasti, kde žákům s OMJ jejich jazyková bariéra brání v hladkém zapojení do výuky.</w:t>
      </w:r>
      <w:r w:rsidR="00E85AB3">
        <w:t xml:space="preserve"> </w:t>
      </w:r>
      <w:r w:rsidR="001A76F1">
        <w:t xml:space="preserve"> Jsou to zejména:</w:t>
      </w:r>
    </w:p>
    <w:p w14:paraId="22084AEC" w14:textId="77777777" w:rsidR="004E3E42" w:rsidRDefault="004E3E42" w:rsidP="004E3E42">
      <w:pPr>
        <w:spacing w:after="0"/>
      </w:pPr>
    </w:p>
    <w:p w14:paraId="332EF190" w14:textId="77777777" w:rsidR="001A76F1" w:rsidRPr="001A76F1" w:rsidRDefault="001A76F1" w:rsidP="001A76F1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1A76F1">
        <w:rPr>
          <w:b/>
        </w:rPr>
        <w:t>pokyny</w:t>
      </w:r>
      <w:r>
        <w:rPr>
          <w:b/>
        </w:rPr>
        <w:t xml:space="preserve"> – </w:t>
      </w:r>
      <w:r>
        <w:t>každý i zdánlivě jednoduchý pokyn je pro začátečníka v ČJ neznámé slovo;</w:t>
      </w:r>
    </w:p>
    <w:p w14:paraId="2AF5F323" w14:textId="77777777" w:rsidR="001A76F1" w:rsidRDefault="001A76F1" w:rsidP="001A76F1">
      <w:pPr>
        <w:pStyle w:val="Odstavecseseznamem"/>
        <w:numPr>
          <w:ilvl w:val="0"/>
          <w:numId w:val="3"/>
        </w:numPr>
        <w:spacing w:after="0"/>
      </w:pPr>
      <w:r>
        <w:rPr>
          <w:b/>
        </w:rPr>
        <w:t>zadá</w:t>
      </w:r>
      <w:r w:rsidR="00E85AB3">
        <w:rPr>
          <w:b/>
        </w:rPr>
        <w:t>vá</w:t>
      </w:r>
      <w:r>
        <w:rPr>
          <w:b/>
        </w:rPr>
        <w:t xml:space="preserve">ní úloh a </w:t>
      </w:r>
      <w:r w:rsidRPr="001A76F1">
        <w:rPr>
          <w:b/>
        </w:rPr>
        <w:t>odborné názvy</w:t>
      </w:r>
      <w:r>
        <w:t xml:space="preserve"> (např. početních operací) – i když žáci umí počítat, mohou mít problém se zadáním, které používá odborné názvy</w:t>
      </w:r>
      <w:r w:rsidRPr="001A76F1">
        <w:rPr>
          <w:b/>
        </w:rPr>
        <w:t xml:space="preserve"> </w:t>
      </w:r>
      <w:r w:rsidRPr="001A76F1">
        <w:t>nebo pro ně ne</w:t>
      </w:r>
      <w:r>
        <w:t>známé výrazy</w:t>
      </w:r>
      <w:r w:rsidRPr="001A76F1">
        <w:t xml:space="preserve"> </w:t>
      </w:r>
    </w:p>
    <w:p w14:paraId="387D46AE" w14:textId="77777777" w:rsidR="00F92986" w:rsidRDefault="001A76F1" w:rsidP="00F92986">
      <w:pPr>
        <w:pStyle w:val="Odstavecseseznamem"/>
        <w:spacing w:after="0"/>
      </w:pPr>
      <w:r>
        <w:t>(příklad: pokud mají zadání „změň v poměru“ nebo „rozděl v poměru“, tak nevědí co s tím- jeden žák například vypočítával obě varianty a dával učitelce na výběr);</w:t>
      </w:r>
    </w:p>
    <w:p w14:paraId="390D4732" w14:textId="77777777" w:rsidR="001A76F1" w:rsidRPr="00F92986" w:rsidRDefault="001A76F1" w:rsidP="00F92986">
      <w:pPr>
        <w:pStyle w:val="Odstavecseseznamem"/>
        <w:numPr>
          <w:ilvl w:val="0"/>
          <w:numId w:val="5"/>
        </w:numPr>
        <w:spacing w:after="0"/>
      </w:pPr>
      <w:r w:rsidRPr="00F92986">
        <w:rPr>
          <w:b/>
        </w:rPr>
        <w:t xml:space="preserve">symboly a označení </w:t>
      </w:r>
      <w:r w:rsidR="00E85AB3">
        <w:rPr>
          <w:b/>
        </w:rPr>
        <w:t>–</w:t>
      </w:r>
      <w:r w:rsidRPr="00F92986">
        <w:rPr>
          <w:b/>
        </w:rPr>
        <w:t xml:space="preserve"> </w:t>
      </w:r>
      <w:r w:rsidR="00E85AB3" w:rsidRPr="00E85AB3">
        <w:t>žáci</w:t>
      </w:r>
      <w:r w:rsidR="00E85AB3">
        <w:rPr>
          <w:b/>
        </w:rPr>
        <w:t xml:space="preserve"> </w:t>
      </w:r>
      <w:r w:rsidRPr="00F92986">
        <w:t>některé symboly neznají nebo nerozumí významu slov (náleží, obsah, průnik,…)</w:t>
      </w:r>
      <w:r w:rsidR="00F92986" w:rsidRPr="00F92986">
        <w:t>;</w:t>
      </w:r>
    </w:p>
    <w:p w14:paraId="4D7115AA" w14:textId="77777777" w:rsidR="00F92986" w:rsidRDefault="001A76F1" w:rsidP="001A76F1">
      <w:pPr>
        <w:pStyle w:val="Odstavecseseznamem"/>
        <w:numPr>
          <w:ilvl w:val="0"/>
          <w:numId w:val="3"/>
        </w:numPr>
        <w:spacing w:after="0"/>
      </w:pPr>
      <w:r w:rsidRPr="00F92986">
        <w:rPr>
          <w:b/>
        </w:rPr>
        <w:t xml:space="preserve">slovní úlohy – </w:t>
      </w:r>
      <w:r>
        <w:t>žáci bez dostatečné znalosti ČJ nerozumí zadání, složitým větným konstrukcím i jednotlivým slovům, a proto se jim nedaří aplikovat početní operace na danou slovní úlohu;</w:t>
      </w:r>
      <w:r w:rsidRPr="001A76F1">
        <w:t xml:space="preserve"> </w:t>
      </w:r>
    </w:p>
    <w:p w14:paraId="0659060F" w14:textId="77777777" w:rsidR="004E3E42" w:rsidRDefault="00F92986" w:rsidP="001A76F1">
      <w:pPr>
        <w:pStyle w:val="Odstavecseseznamem"/>
        <w:numPr>
          <w:ilvl w:val="0"/>
          <w:numId w:val="3"/>
        </w:numPr>
        <w:spacing w:after="0"/>
      </w:pPr>
      <w:r>
        <w:rPr>
          <w:b/>
        </w:rPr>
        <w:t>g</w:t>
      </w:r>
      <w:r w:rsidR="004E3E42" w:rsidRPr="00F92986">
        <w:rPr>
          <w:b/>
        </w:rPr>
        <w:t>eometrie</w:t>
      </w:r>
      <w:r w:rsidR="004E3E42">
        <w:t xml:space="preserve"> – </w:t>
      </w:r>
      <w:r w:rsidR="001A76F1">
        <w:t xml:space="preserve">žáci mají problémy s porozuměním </w:t>
      </w:r>
      <w:r w:rsidR="004E3E42">
        <w:t>popis</w:t>
      </w:r>
      <w:r w:rsidR="001A76F1">
        <w:t>u konstr</w:t>
      </w:r>
      <w:r w:rsidR="00E85AB3">
        <w:t>ukce a následně s jejím řešením.</w:t>
      </w:r>
    </w:p>
    <w:p w14:paraId="204A2520" w14:textId="77777777" w:rsidR="001A76F1" w:rsidRDefault="00000000" w:rsidP="004E3E42">
      <w:pPr>
        <w:spacing w:after="0"/>
        <w:rPr>
          <w:b/>
        </w:rPr>
      </w:pPr>
      <w:r>
        <w:rPr>
          <w:noProof/>
        </w:rPr>
        <w:pict w14:anchorId="66B09AB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0.65pt;margin-top:16.45pt;width:36.75pt;height:9pt;z-index:251662336;mso-position-horizontal-relative:text;mso-position-vertical-relative:text" stroked="f">
            <v:textbox inset="0,0,0,0">
              <w:txbxContent>
                <w:p w14:paraId="46B3B4ED" w14:textId="77777777" w:rsidR="00E85AB3" w:rsidRPr="00CC0548" w:rsidRDefault="00E85AB3" w:rsidP="001A76F1">
                  <w:pPr>
                    <w:pStyle w:val="Titulek"/>
                    <w:rPr>
                      <w:noProof/>
                    </w:rPr>
                  </w:pPr>
                  <w:r>
                    <w:t>Příklad 1</w:t>
                  </w:r>
                </w:p>
              </w:txbxContent>
            </v:textbox>
            <w10:wrap type="square"/>
          </v:shape>
        </w:pict>
      </w:r>
    </w:p>
    <w:p w14:paraId="577EEE87" w14:textId="77777777" w:rsidR="004E3E42" w:rsidRDefault="00F92986" w:rsidP="004E3E42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02D72B9" wp14:editId="0A96D4D0">
            <wp:simplePos x="0" y="0"/>
            <wp:positionH relativeFrom="column">
              <wp:posOffset>3986530</wp:posOffset>
            </wp:positionH>
            <wp:positionV relativeFrom="paragraph">
              <wp:posOffset>174625</wp:posOffset>
            </wp:positionV>
            <wp:extent cx="1762125" cy="1333500"/>
            <wp:effectExtent l="19050" t="19050" r="28575" b="19050"/>
            <wp:wrapSquare wrapText="bothSides"/>
            <wp:docPr id="2" name="obrázek 2" descr="C:\Documents and Settings\Kristýna\Local Settings\Temporary Internet Files\Content.Word\Sníme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týna\Local Settings\Temporary Internet Files\Content.Word\Snímek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E42" w:rsidRPr="00F470F4">
        <w:rPr>
          <w:b/>
        </w:rPr>
        <w:t>Co pomáhá? Jak se to dá řešit?</w:t>
      </w:r>
      <w:r w:rsidR="004E3E42" w:rsidRPr="00F470F4">
        <w:rPr>
          <w:b/>
        </w:rPr>
        <w:tab/>
      </w:r>
    </w:p>
    <w:p w14:paraId="3B9189D5" w14:textId="77777777" w:rsidR="001A76F1" w:rsidRDefault="001A76F1" w:rsidP="004E3E42">
      <w:pPr>
        <w:spacing w:after="0"/>
        <w:rPr>
          <w:b/>
        </w:rPr>
      </w:pPr>
    </w:p>
    <w:p w14:paraId="59619395" w14:textId="77777777" w:rsidR="001A76F1" w:rsidRDefault="001A76F1" w:rsidP="00F92986">
      <w:pPr>
        <w:pStyle w:val="Odstavecseseznamem"/>
        <w:numPr>
          <w:ilvl w:val="0"/>
          <w:numId w:val="4"/>
        </w:numPr>
        <w:spacing w:before="240" w:after="120"/>
      </w:pPr>
      <w:r w:rsidRPr="001A76F1">
        <w:t>Učitel</w:t>
      </w:r>
      <w:r>
        <w:t xml:space="preserve">(ka) </w:t>
      </w:r>
      <w:proofErr w:type="gramStart"/>
      <w:r>
        <w:t>vytvoří</w:t>
      </w:r>
      <w:proofErr w:type="gramEnd"/>
      <w:r>
        <w:t xml:space="preserve"> (může společně se spolužáky) seznam </w:t>
      </w:r>
      <w:r w:rsidRPr="00F92986">
        <w:rPr>
          <w:b/>
        </w:rPr>
        <w:t>pokynů a způsobů zadávání úloh</w:t>
      </w:r>
      <w:r w:rsidRPr="001A76F1">
        <w:t xml:space="preserve">, které běžně a nejčastěji používá </w:t>
      </w:r>
      <w:r>
        <w:t>a společně s dětmi vymyslí jednoduché vysvětlení daného pokynu</w:t>
      </w:r>
    </w:p>
    <w:p w14:paraId="0F67A7DA" w14:textId="77777777" w:rsidR="00F92986" w:rsidRDefault="00F92986" w:rsidP="00F92986">
      <w:pPr>
        <w:pStyle w:val="Odstavecseseznamem"/>
        <w:spacing w:before="240" w:after="120"/>
      </w:pPr>
    </w:p>
    <w:p w14:paraId="169F1F2E" w14:textId="77777777" w:rsidR="001A76F1" w:rsidRDefault="001A76F1" w:rsidP="00F92986">
      <w:pPr>
        <w:pStyle w:val="Odstavecseseznamem"/>
        <w:numPr>
          <w:ilvl w:val="0"/>
          <w:numId w:val="4"/>
        </w:numPr>
        <w:spacing w:before="240" w:after="120"/>
      </w:pPr>
      <w:r w:rsidRPr="001A76F1">
        <w:t>Učitel</w:t>
      </w:r>
      <w:r w:rsidR="00F92986">
        <w:t>(ka)</w:t>
      </w:r>
      <w:r w:rsidRPr="001A76F1">
        <w:t xml:space="preserve"> </w:t>
      </w:r>
      <w:r>
        <w:rPr>
          <w:b/>
        </w:rPr>
        <w:t xml:space="preserve">reflektuje zadávání úkolů u konkrétních (složitějších) operací </w:t>
      </w:r>
      <w:r w:rsidRPr="001A76F1">
        <w:t xml:space="preserve">a </w:t>
      </w:r>
      <w:r w:rsidR="00F92986">
        <w:t xml:space="preserve">následně </w:t>
      </w:r>
      <w:proofErr w:type="gramStart"/>
      <w:r w:rsidRPr="001A76F1">
        <w:t>vytvoří</w:t>
      </w:r>
      <w:proofErr w:type="gramEnd"/>
      <w:r>
        <w:t xml:space="preserve"> </w:t>
      </w:r>
      <w:r w:rsidRPr="00F470F4">
        <w:t>spojení matematického výrazu s</w:t>
      </w:r>
      <w:r w:rsidR="00F92986">
        <w:t> </w:t>
      </w:r>
      <w:r w:rsidRPr="00F470F4">
        <w:t>konkrétním</w:t>
      </w:r>
      <w:r w:rsidR="00F92986">
        <w:t xml:space="preserve"> početním</w:t>
      </w:r>
      <w:r w:rsidRPr="00F470F4">
        <w:t xml:space="preserve"> </w:t>
      </w:r>
      <w:r>
        <w:t xml:space="preserve">úkonem. </w:t>
      </w:r>
      <w:r w:rsidR="00F92986">
        <w:t>Vznikne</w:t>
      </w:r>
      <w:r>
        <w:t xml:space="preserve"> tím</w:t>
      </w:r>
      <w:r w:rsidRPr="00F470F4">
        <w:t xml:space="preserve"> </w:t>
      </w:r>
      <w:r w:rsidRPr="00941CB7">
        <w:rPr>
          <w:b/>
        </w:rPr>
        <w:t>vzorov</w:t>
      </w:r>
      <w:r>
        <w:rPr>
          <w:b/>
        </w:rPr>
        <w:t>ý</w:t>
      </w:r>
      <w:r w:rsidRPr="00941CB7">
        <w:rPr>
          <w:b/>
        </w:rPr>
        <w:t xml:space="preserve"> příklad</w:t>
      </w:r>
      <w:r w:rsidRPr="00F470F4">
        <w:t xml:space="preserve">, na kterém </w:t>
      </w:r>
      <w:r w:rsidR="00F92986">
        <w:t xml:space="preserve">žáci </w:t>
      </w:r>
      <w:r w:rsidRPr="00F470F4">
        <w:t xml:space="preserve">pochopí </w:t>
      </w:r>
      <w:r w:rsidRPr="00941CB7">
        <w:rPr>
          <w:i/>
        </w:rPr>
        <w:t>zadání příkladu</w:t>
      </w:r>
      <w:r w:rsidRPr="00F470F4">
        <w:t>, kterému nerozumí</w:t>
      </w:r>
      <w:r w:rsidR="00F92986">
        <w:t>.</w:t>
      </w:r>
    </w:p>
    <w:p w14:paraId="717BD809" w14:textId="77777777" w:rsidR="001A76F1" w:rsidRDefault="00F92986" w:rsidP="00F92986">
      <w:pPr>
        <w:pStyle w:val="Odstavecseseznamem"/>
        <w:spacing w:before="240" w:after="120"/>
      </w:pPr>
      <w:r>
        <w:t>P</w:t>
      </w:r>
      <w:r w:rsidR="001A76F1" w:rsidRPr="00F470F4">
        <w:t>říklad:</w:t>
      </w:r>
      <w:r w:rsidR="001A76F1">
        <w:t xml:space="preserve"> </w:t>
      </w:r>
      <w:r w:rsidR="001A76F1">
        <w:rPr>
          <w:b/>
        </w:rPr>
        <w:t>z</w:t>
      </w:r>
      <w:r w:rsidR="001A76F1" w:rsidRPr="00F470F4">
        <w:rPr>
          <w:b/>
        </w:rPr>
        <w:t>měň v poměru</w:t>
      </w:r>
      <w:r w:rsidR="001A76F1">
        <w:t xml:space="preserve"> </w:t>
      </w:r>
      <w:r>
        <w:t>vs.</w:t>
      </w:r>
      <w:r w:rsidR="001A76F1">
        <w:t xml:space="preserve"> </w:t>
      </w:r>
      <w:r w:rsidR="001A76F1" w:rsidRPr="00F470F4">
        <w:rPr>
          <w:b/>
        </w:rPr>
        <w:t>rozděl v poměru</w:t>
      </w:r>
      <w:r w:rsidR="001A76F1">
        <w:t xml:space="preserve"> – </w:t>
      </w:r>
      <w:r>
        <w:t xml:space="preserve">žák s </w:t>
      </w:r>
      <w:r w:rsidR="001A76F1">
        <w:t xml:space="preserve">OMJ </w:t>
      </w:r>
      <w:r>
        <w:t xml:space="preserve">by uměl oboje vypočítat, ale neví, které </w:t>
      </w:r>
      <w:proofErr w:type="gramStart"/>
      <w:r>
        <w:t>zadání</w:t>
      </w:r>
      <w:proofErr w:type="gramEnd"/>
      <w:r>
        <w:t xml:space="preserve"> co znamená </w:t>
      </w:r>
      <w:r w:rsidR="001A76F1">
        <w:t xml:space="preserve">(viz </w:t>
      </w:r>
      <w:r>
        <w:t xml:space="preserve">výše). Učitel (nebo spolužáci) </w:t>
      </w:r>
      <w:r w:rsidR="001A76F1">
        <w:t xml:space="preserve">vytvoří ukázkový příklad se </w:t>
      </w:r>
      <w:r w:rsidR="001A76F1">
        <w:lastRenderedPageBreak/>
        <w:t xml:space="preserve">stejným poměrem a stejným číslem, na němž </w:t>
      </w:r>
      <w:r>
        <w:t>žák s OMJ (</w:t>
      </w:r>
      <w:r w:rsidR="001A76F1">
        <w:t xml:space="preserve">a </w:t>
      </w:r>
      <w:r w:rsidR="00E85AB3">
        <w:t>koneckonců všichni</w:t>
      </w:r>
      <w:r w:rsidR="001A76F1">
        <w:t xml:space="preserve"> </w:t>
      </w:r>
      <w:r>
        <w:t>žáci</w:t>
      </w:r>
      <w:r w:rsidR="001A76F1">
        <w:t>) pochopí ro</w:t>
      </w:r>
      <w:r>
        <w:t>zdíl v zadání a zároveň princip.</w:t>
      </w:r>
      <w:r w:rsidR="001A76F1">
        <w:t xml:space="preserve"> </w:t>
      </w:r>
      <w:r>
        <w:t>U</w:t>
      </w:r>
      <w:r w:rsidR="001A76F1">
        <w:t>kázkový příklad visí ve třídě při procvičování látky jako běžný nástěnný obraz (pomáhá totiž</w:t>
      </w:r>
      <w:r>
        <w:t xml:space="preserve"> všem) nebo ho má ŽOMJ v penále.</w:t>
      </w:r>
    </w:p>
    <w:p w14:paraId="371BD78B" w14:textId="77777777" w:rsidR="00F92986" w:rsidRDefault="00F92986" w:rsidP="00F92986">
      <w:pPr>
        <w:pStyle w:val="Odstavecseseznamem"/>
        <w:spacing w:before="240" w:after="120"/>
      </w:pPr>
    </w:p>
    <w:p w14:paraId="4228B627" w14:textId="77777777" w:rsidR="00F92986" w:rsidRDefault="00F92986" w:rsidP="00F92986">
      <w:pPr>
        <w:pStyle w:val="Odstavecseseznamem"/>
        <w:numPr>
          <w:ilvl w:val="0"/>
          <w:numId w:val="4"/>
        </w:numPr>
        <w:spacing w:before="240" w:after="120"/>
      </w:pPr>
      <w:r w:rsidRPr="00F92986">
        <w:t>Při vysvětlování nové látky je potřeba</w:t>
      </w:r>
      <w:r w:rsidRPr="00F92986">
        <w:rPr>
          <w:b/>
        </w:rPr>
        <w:t xml:space="preserve"> rozvolnit jednotlivé kroky v postupu</w:t>
      </w:r>
      <w:r>
        <w:t xml:space="preserve">, aby i žáci s OMJ pochopili postup. Učitel(ka) jednotlivé kroky pojmenovává a při procvičování pojmenovávají jednotlivé kroky v postupu i samotní žáci, učitelé používají návodné otázky. </w:t>
      </w:r>
    </w:p>
    <w:p w14:paraId="2EE0DB06" w14:textId="77777777" w:rsidR="00F92986" w:rsidRDefault="00F92986" w:rsidP="00F92986">
      <w:pPr>
        <w:pStyle w:val="Odstavecseseznamem"/>
        <w:spacing w:before="240" w:after="120"/>
      </w:pPr>
    </w:p>
    <w:p w14:paraId="033F3B64" w14:textId="77777777" w:rsidR="001A76F1" w:rsidRDefault="00F92986" w:rsidP="00F92986">
      <w:pPr>
        <w:pStyle w:val="Odstavecseseznamem"/>
        <w:numPr>
          <w:ilvl w:val="0"/>
          <w:numId w:val="4"/>
        </w:numPr>
        <w:spacing w:before="240" w:after="0"/>
      </w:pPr>
      <w:r>
        <w:t xml:space="preserve">Odborné názvy, symboly a označení lze vysvětlit </w:t>
      </w:r>
      <w:r w:rsidRPr="00F92986">
        <w:rPr>
          <w:b/>
        </w:rPr>
        <w:t>názorně</w:t>
      </w:r>
      <w:r>
        <w:t xml:space="preserve"> na příkladu</w:t>
      </w:r>
      <w:r w:rsidR="00E85AB3">
        <w:t xml:space="preserve"> (např. </w:t>
      </w:r>
      <w:r w:rsidR="00E85AB3" w:rsidRPr="00E85AB3">
        <w:rPr>
          <w:i/>
        </w:rPr>
        <w:t>průnik</w:t>
      </w:r>
      <w:r w:rsidR="00E85AB3">
        <w:rPr>
          <w:i/>
        </w:rPr>
        <w:t xml:space="preserve"> i „náleží</w:t>
      </w:r>
      <w:proofErr w:type="gramStart"/>
      <w:r w:rsidR="00E85AB3">
        <w:rPr>
          <w:i/>
        </w:rPr>
        <w:t>“</w:t>
      </w:r>
      <w:r w:rsidR="00E85AB3">
        <w:t xml:space="preserve">  lze</w:t>
      </w:r>
      <w:proofErr w:type="gramEnd"/>
      <w:r w:rsidR="00E85AB3">
        <w:t xml:space="preserve"> velmi snadno načrtnout na tabuli)</w:t>
      </w:r>
      <w:r>
        <w:t xml:space="preserve">, zároveň si žák může význam vyhledat v </w:t>
      </w:r>
      <w:r w:rsidRPr="00F92986">
        <w:rPr>
          <w:b/>
        </w:rPr>
        <w:t>Překladovém slovníčku</w:t>
      </w:r>
      <w:r>
        <w:t xml:space="preserve"> pojmů z matematiky na </w:t>
      </w:r>
      <w:hyperlink r:id="rId12" w:history="1">
        <w:r w:rsidRPr="00AD5F56">
          <w:rPr>
            <w:rStyle w:val="Hypertextovodkaz"/>
          </w:rPr>
          <w:t>http://www.inkluzivniskola.cz/pedagogicka-prace-s-diverzitou/prekladove-slovnicky</w:t>
        </w:r>
      </w:hyperlink>
      <w:r>
        <w:t xml:space="preserve"> - slovníčky jsou k dispozici v angličtině, ruštině, ukrajinštině, vietnamštině, mongolštině a čínštině. Pouhý překlad ale nemusí k pochopení stačit. Proto je vhodné i v tomto případě, aby měl žák k dispozici vzorovou ukázku s pojmem (forma nástěnného plakátu je opět na místě – slouží k upevnění pojmu</w:t>
      </w:r>
      <w:r w:rsidRPr="00F92986">
        <w:t xml:space="preserve"> </w:t>
      </w:r>
      <w:r>
        <w:t>všem žákům).</w:t>
      </w:r>
    </w:p>
    <w:p w14:paraId="2BD62660" w14:textId="77777777" w:rsidR="00F92986" w:rsidRDefault="00F92986" w:rsidP="00F92986">
      <w:pPr>
        <w:pStyle w:val="Odstavecseseznamem"/>
        <w:spacing w:before="240" w:after="0"/>
      </w:pPr>
    </w:p>
    <w:p w14:paraId="518AE973" w14:textId="77777777" w:rsidR="00F92986" w:rsidRDefault="00F92986" w:rsidP="00F92986">
      <w:pPr>
        <w:pStyle w:val="Odstavecseseznamem"/>
        <w:numPr>
          <w:ilvl w:val="0"/>
          <w:numId w:val="4"/>
        </w:numPr>
        <w:spacing w:before="240" w:after="0"/>
      </w:pPr>
      <w:r>
        <w:t xml:space="preserve">U </w:t>
      </w:r>
      <w:r w:rsidRPr="00F92986">
        <w:rPr>
          <w:b/>
        </w:rPr>
        <w:t>slovních úloh</w:t>
      </w:r>
      <w:r>
        <w:t xml:space="preserve"> je také potřeba pracovat s jazykem – buď je možné zvýraznit pro žáky s OMJ jen to podstatné, aby se nezabývali podružnostmi v textu, nebo se pokusit (i za pomoci spolužáků) slovní úlohu vyjádřit názorně (pomocí obrázků, nákresů apod.)</w:t>
      </w:r>
    </w:p>
    <w:p w14:paraId="592AB093" w14:textId="77777777" w:rsidR="001A76F1" w:rsidRPr="001A76F1" w:rsidRDefault="001A76F1" w:rsidP="001A76F1">
      <w:pPr>
        <w:spacing w:after="0"/>
        <w:rPr>
          <w:b/>
        </w:rPr>
      </w:pPr>
    </w:p>
    <w:p w14:paraId="55C4E266" w14:textId="77777777" w:rsidR="00AD3D21" w:rsidRDefault="00F92986" w:rsidP="00AD3D21">
      <w:pPr>
        <w:pStyle w:val="Odstavecseseznamem"/>
        <w:numPr>
          <w:ilvl w:val="0"/>
          <w:numId w:val="1"/>
        </w:numPr>
        <w:spacing w:after="0"/>
      </w:pPr>
      <w:r w:rsidRPr="00F92986">
        <w:t>Využívání</w:t>
      </w:r>
      <w:r w:rsidRPr="00AD3D21">
        <w:rPr>
          <w:b/>
        </w:rPr>
        <w:t xml:space="preserve"> názornosti </w:t>
      </w:r>
      <w:r w:rsidRPr="00F92986">
        <w:t xml:space="preserve">obecně je </w:t>
      </w:r>
      <w:r>
        <w:t>při výuce žáků s OMJ velmi důležité.  Příkladem může bý</w:t>
      </w:r>
      <w:r w:rsidR="00AD3D21">
        <w:t xml:space="preserve">t v </w:t>
      </w:r>
      <w:r>
        <w:t xml:space="preserve">geometrii </w:t>
      </w:r>
      <w:r w:rsidR="00AD3D21">
        <w:t xml:space="preserve">běžně používaná </w:t>
      </w:r>
      <w:r w:rsidR="004E3E42">
        <w:t xml:space="preserve">Pythagorova věta </w:t>
      </w:r>
      <w:hyperlink r:id="rId13" w:history="1">
        <w:r w:rsidR="00AD3D21" w:rsidRPr="00AD5F56">
          <w:rPr>
            <w:rStyle w:val="Hypertextovodkaz"/>
          </w:rPr>
          <w:t>http://odkazy.rvp.cz/odkaz/z/4607/PYTHAGOROVA-VETA-NAZORNE.html</w:t>
        </w:r>
      </w:hyperlink>
      <w:r w:rsidR="00AD3D21">
        <w:t xml:space="preserve"> </w:t>
      </w:r>
      <w:r w:rsidR="00AD3D21" w:rsidRPr="00AD3D21">
        <w:t xml:space="preserve"> </w:t>
      </w:r>
    </w:p>
    <w:p w14:paraId="7D2E4B94" w14:textId="77777777" w:rsidR="00AD3D21" w:rsidRDefault="00AD3D21" w:rsidP="00AD3D21">
      <w:pPr>
        <w:spacing w:after="0"/>
      </w:pPr>
    </w:p>
    <w:p w14:paraId="74165583" w14:textId="77777777" w:rsidR="00AD3D21" w:rsidRPr="00AD3D21" w:rsidRDefault="00AD3D21" w:rsidP="00AD3D21">
      <w:pPr>
        <w:spacing w:after="0"/>
        <w:rPr>
          <w:b/>
        </w:rPr>
      </w:pPr>
      <w:r w:rsidRPr="00AD3D21">
        <w:rPr>
          <w:b/>
        </w:rPr>
        <w:t>Dále je vhodné</w:t>
      </w:r>
      <w:r>
        <w:rPr>
          <w:b/>
        </w:rPr>
        <w:t>:</w:t>
      </w:r>
    </w:p>
    <w:p w14:paraId="17DB8066" w14:textId="77777777" w:rsidR="004E3E42" w:rsidRDefault="004E3E42" w:rsidP="004E3E42">
      <w:pPr>
        <w:pStyle w:val="Odstavecseseznamem"/>
        <w:numPr>
          <w:ilvl w:val="0"/>
          <w:numId w:val="1"/>
        </w:numPr>
        <w:spacing w:after="0"/>
      </w:pPr>
      <w:r w:rsidRPr="00AD3D21">
        <w:rPr>
          <w:b/>
        </w:rPr>
        <w:t xml:space="preserve">využívat aplikace v IT </w:t>
      </w:r>
      <w:r w:rsidRPr="00F470F4">
        <w:t>(např. v geometrii) na interaktivní tabuli,</w:t>
      </w:r>
      <w:r w:rsidRPr="00AD3D21">
        <w:rPr>
          <w:b/>
        </w:rPr>
        <w:t xml:space="preserve"> </w:t>
      </w:r>
    </w:p>
    <w:p w14:paraId="5AD97BA1" w14:textId="77777777" w:rsidR="004E3E42" w:rsidRDefault="00AD3D21" w:rsidP="004E3E42">
      <w:pPr>
        <w:pStyle w:val="Odstavecseseznamem"/>
        <w:numPr>
          <w:ilvl w:val="0"/>
          <w:numId w:val="1"/>
        </w:numPr>
        <w:spacing w:after="0"/>
      </w:pPr>
      <w:r>
        <w:rPr>
          <w:b/>
        </w:rPr>
        <w:t>používat vhodnou</w:t>
      </w:r>
      <w:r w:rsidR="004E3E42">
        <w:rPr>
          <w:b/>
        </w:rPr>
        <w:t xml:space="preserve"> učebnic</w:t>
      </w:r>
      <w:r>
        <w:rPr>
          <w:b/>
        </w:rPr>
        <w:t xml:space="preserve">i, </w:t>
      </w:r>
      <w:r w:rsidRPr="00AD3D21">
        <w:t xml:space="preserve">která je </w:t>
      </w:r>
      <w:r w:rsidR="004E3E42" w:rsidRPr="00AD3D21">
        <w:t xml:space="preserve">přehledná, </w:t>
      </w:r>
      <w:r>
        <w:t>je v ní méně</w:t>
      </w:r>
      <w:r w:rsidR="004E3E42" w:rsidRPr="00AD3D21">
        <w:t xml:space="preserve"> učiva na</w:t>
      </w:r>
      <w:r w:rsidR="004E3E42">
        <w:t xml:space="preserve"> stránce</w:t>
      </w:r>
      <w:r>
        <w:t xml:space="preserve"> a</w:t>
      </w:r>
      <w:r w:rsidR="004E3E42">
        <w:t xml:space="preserve"> méně textu</w:t>
      </w:r>
      <w:r w:rsidR="00E85AB3">
        <w:t>,</w:t>
      </w:r>
    </w:p>
    <w:p w14:paraId="6468C0A1" w14:textId="77777777" w:rsidR="004E3E42" w:rsidRPr="00E85AB3" w:rsidRDefault="00AD3D21" w:rsidP="004E3E42">
      <w:pPr>
        <w:pStyle w:val="Odstavecseseznamem"/>
        <w:numPr>
          <w:ilvl w:val="0"/>
          <w:numId w:val="1"/>
        </w:numPr>
        <w:spacing w:after="0"/>
      </w:pPr>
      <w:r w:rsidRPr="00AD3D21">
        <w:t>mít k dispozici</w:t>
      </w:r>
      <w:r>
        <w:rPr>
          <w:b/>
        </w:rPr>
        <w:t xml:space="preserve"> </w:t>
      </w:r>
      <w:r w:rsidR="004E3E42">
        <w:rPr>
          <w:b/>
        </w:rPr>
        <w:t>asistent</w:t>
      </w:r>
      <w:r w:rsidR="00F30737">
        <w:rPr>
          <w:b/>
        </w:rPr>
        <w:t>a</w:t>
      </w:r>
      <w:r w:rsidR="004E3E42">
        <w:rPr>
          <w:b/>
        </w:rPr>
        <w:t xml:space="preserve"> pedagoga</w:t>
      </w:r>
      <w:r w:rsidR="00E85AB3">
        <w:rPr>
          <w:b/>
        </w:rPr>
        <w:t xml:space="preserve"> </w:t>
      </w:r>
      <w:r w:rsidR="00E85AB3">
        <w:t>nebo</w:t>
      </w:r>
      <w:r w:rsidR="00E85AB3">
        <w:rPr>
          <w:b/>
        </w:rPr>
        <w:t xml:space="preserve"> využívat spolužáků,</w:t>
      </w:r>
    </w:p>
    <w:p w14:paraId="21B2C4F8" w14:textId="77777777" w:rsidR="00E85AB3" w:rsidRPr="00E85AB3" w:rsidRDefault="00E85AB3" w:rsidP="004E3E42">
      <w:pPr>
        <w:pStyle w:val="Odstavecseseznamem"/>
        <w:numPr>
          <w:ilvl w:val="0"/>
          <w:numId w:val="1"/>
        </w:numPr>
        <w:spacing w:after="0"/>
      </w:pPr>
      <w:r w:rsidRPr="00E85AB3">
        <w:t xml:space="preserve">pracovat ve skupině, kdy žák s OMJ má </w:t>
      </w:r>
      <w:r w:rsidRPr="00E85AB3">
        <w:rPr>
          <w:b/>
        </w:rPr>
        <w:t>jasné úkoly</w:t>
      </w:r>
      <w:r>
        <w:rPr>
          <w:b/>
        </w:rPr>
        <w:t>,</w:t>
      </w:r>
    </w:p>
    <w:p w14:paraId="623B27D2" w14:textId="77777777" w:rsidR="004E3E42" w:rsidRPr="00F470F4" w:rsidRDefault="004E3E42" w:rsidP="004E3E42">
      <w:pPr>
        <w:pStyle w:val="Odstavecseseznamem"/>
        <w:numPr>
          <w:ilvl w:val="0"/>
          <w:numId w:val="2"/>
        </w:numPr>
        <w:spacing w:after="0"/>
      </w:pPr>
      <w:r w:rsidRPr="00AD3D21">
        <w:t>počítat, počítat, počítat, počítat,… prostě stále</w:t>
      </w:r>
      <w:r w:rsidRPr="00F470F4">
        <w:rPr>
          <w:b/>
        </w:rPr>
        <w:t xml:space="preserve"> </w:t>
      </w:r>
      <w:r>
        <w:rPr>
          <w:b/>
        </w:rPr>
        <w:t>procvičovat</w:t>
      </w:r>
      <w:r w:rsidR="00674998">
        <w:rPr>
          <w:b/>
        </w:rPr>
        <w:t>,</w:t>
      </w:r>
    </w:p>
    <w:p w14:paraId="1273994E" w14:textId="77777777" w:rsidR="004E3E42" w:rsidRDefault="004E3E42" w:rsidP="004E3E42">
      <w:pPr>
        <w:pStyle w:val="Odstavecseseznamem"/>
        <w:numPr>
          <w:ilvl w:val="0"/>
          <w:numId w:val="2"/>
        </w:numPr>
        <w:spacing w:after="0"/>
      </w:pPr>
      <w:r w:rsidRPr="00F470F4">
        <w:t xml:space="preserve">vypracovávat konkrétní PL přímo pro </w:t>
      </w:r>
      <w:r w:rsidR="00AD3D21">
        <w:t xml:space="preserve">žáky s </w:t>
      </w:r>
      <w:r w:rsidRPr="00F470F4">
        <w:t xml:space="preserve">OMJ, </w:t>
      </w:r>
      <w:r w:rsidR="00AD3D21">
        <w:t>mít k dispozici s</w:t>
      </w:r>
      <w:r w:rsidRPr="00F470F4">
        <w:t>bírku příkladů</w:t>
      </w:r>
      <w:r w:rsidR="00AD3D21">
        <w:t>, kterou lze využívat i bez dostatečné slovní zásoby</w:t>
      </w:r>
      <w:r w:rsidR="00674998">
        <w:t>.</w:t>
      </w:r>
    </w:p>
    <w:p w14:paraId="77CCFC08" w14:textId="77777777" w:rsidR="00AD3D21" w:rsidRPr="00F470F4" w:rsidRDefault="00AD3D21" w:rsidP="00AD3D21">
      <w:pPr>
        <w:spacing w:after="0"/>
        <w:ind w:left="360"/>
      </w:pPr>
    </w:p>
    <w:p w14:paraId="0DEDAFAD" w14:textId="77777777" w:rsidR="004E3E42" w:rsidRPr="00F470F4" w:rsidRDefault="004E3E42" w:rsidP="004E3E42">
      <w:pPr>
        <w:spacing w:after="0"/>
      </w:pPr>
      <w:r w:rsidRPr="00F470F4">
        <w:tab/>
      </w:r>
      <w:r w:rsidRPr="00F470F4">
        <w:tab/>
      </w:r>
      <w:r w:rsidRPr="00F470F4">
        <w:tab/>
      </w:r>
    </w:p>
    <w:p w14:paraId="7279418F" w14:textId="77777777" w:rsidR="00537E85" w:rsidRDefault="00537E85"/>
    <w:p w14:paraId="30D4F041" w14:textId="77777777" w:rsidR="00537E85" w:rsidRDefault="00537E85" w:rsidP="00537E85"/>
    <w:p w14:paraId="7411B744" w14:textId="77777777" w:rsidR="00BA06FE" w:rsidRPr="00537E85" w:rsidRDefault="00537E85" w:rsidP="00537E85">
      <w:pPr>
        <w:tabs>
          <w:tab w:val="left" w:pos="2460"/>
        </w:tabs>
      </w:pPr>
      <w:r>
        <w:tab/>
      </w:r>
    </w:p>
    <w:sectPr w:rsidR="00BA06FE" w:rsidRPr="00537E85" w:rsidSect="00523DEF">
      <w:headerReference w:type="default" r:id="rId14"/>
      <w:footerReference w:type="defaul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E855" w14:textId="77777777" w:rsidR="00E06350" w:rsidRDefault="00E06350" w:rsidP="00422710">
      <w:pPr>
        <w:spacing w:after="0" w:line="240" w:lineRule="auto"/>
      </w:pPr>
      <w:r>
        <w:separator/>
      </w:r>
    </w:p>
  </w:endnote>
  <w:endnote w:type="continuationSeparator" w:id="0">
    <w:p w14:paraId="0F28F185" w14:textId="77777777" w:rsidR="00E06350" w:rsidRDefault="00E06350" w:rsidP="0042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40BC" w14:textId="0912CA79" w:rsidR="00422710" w:rsidRDefault="00422710" w:rsidP="00523D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fr-FR"/>
      </w:rPr>
    </w:pPr>
    <w:r>
      <w:rPr>
        <w:rFonts w:ascii="Calibri" w:eastAsia="Calibri" w:hAnsi="Calibri" w:cs="Times New Roman"/>
        <w:lang w:val="fr-FR"/>
      </w:rPr>
      <w:t xml:space="preserve">Pracovní skupina, v rámci které vznikl tento dokument, byla </w:t>
    </w:r>
    <w:r w:rsidRPr="00422710">
      <w:rPr>
        <w:rFonts w:ascii="Calibri" w:eastAsia="Calibri" w:hAnsi="Calibri" w:cs="Times New Roman"/>
        <w:lang w:val="fr-FR"/>
      </w:rPr>
      <w:t>aktivit</w:t>
    </w:r>
    <w:r>
      <w:rPr>
        <w:rFonts w:ascii="Calibri" w:eastAsia="Calibri" w:hAnsi="Calibri" w:cs="Times New Roman"/>
        <w:lang w:val="fr-FR"/>
      </w:rPr>
      <w:t>ou</w:t>
    </w:r>
    <w:r w:rsidRPr="00422710">
      <w:rPr>
        <w:rFonts w:ascii="Calibri" w:eastAsia="Calibri" w:hAnsi="Calibri" w:cs="Times New Roman"/>
        <w:lang w:val="fr-FR"/>
      </w:rPr>
      <w:t xml:space="preserve"> projektu </w:t>
    </w:r>
    <w:r w:rsidRPr="00422710">
      <w:rPr>
        <w:rFonts w:ascii="Calibri" w:eastAsia="Calibri" w:hAnsi="Calibri" w:cs="Times New Roman"/>
        <w:i/>
        <w:lang w:val="fr-FR"/>
      </w:rPr>
      <w:t>Program na podporu pedagogických pracovníků při práci s žáky-cizinci</w:t>
    </w:r>
    <w:r w:rsidRPr="00422710">
      <w:rPr>
        <w:rFonts w:ascii="Calibri" w:eastAsia="Calibri" w:hAnsi="Calibri" w:cs="Times New Roman"/>
        <w:lang w:val="fr-FR"/>
      </w:rPr>
      <w:t xml:space="preserve"> spolufinancov</w:t>
    </w:r>
    <w:r>
      <w:rPr>
        <w:rFonts w:ascii="Calibri" w:eastAsia="Calibri" w:hAnsi="Calibri" w:cs="Times New Roman"/>
        <w:lang w:val="fr-FR"/>
      </w:rPr>
      <w:t>aného</w:t>
    </w:r>
    <w:r w:rsidRPr="00422710">
      <w:rPr>
        <w:rFonts w:ascii="Calibri" w:eastAsia="Calibri" w:hAnsi="Calibri" w:cs="Times New Roman"/>
        <w:lang w:val="fr-FR"/>
      </w:rPr>
      <w:t xml:space="preserve"> z prostředků Evropského fondu pro integraci státních příslušníků třetích zemí.</w:t>
    </w:r>
  </w:p>
  <w:p w14:paraId="11230CD8" w14:textId="134D397C" w:rsidR="00523DEF" w:rsidRPr="00422710" w:rsidRDefault="00523DEF" w:rsidP="00523DEF">
    <w:pPr>
      <w:pStyle w:val="Zhlav"/>
      <w:jc w:val="center"/>
      <w:rPr>
        <w:rFonts w:ascii="Calibri" w:eastAsia="Calibri" w:hAnsi="Calibri" w:cs="Times New Roman"/>
        <w:lang w:val="fr-FR"/>
      </w:rPr>
    </w:pPr>
    <w:r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08B082DA" wp14:editId="7698AA80">
          <wp:extent cx="781050" cy="523875"/>
          <wp:effectExtent l="19050" t="0" r="0" b="0"/>
          <wp:docPr id="5" name="Obrázek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59D1F160" wp14:editId="6625D9E6">
          <wp:extent cx="1733550" cy="504825"/>
          <wp:effectExtent l="19050" t="0" r="0" b="0"/>
          <wp:docPr id="18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2D67" w14:textId="77777777" w:rsidR="00E06350" w:rsidRDefault="00E06350" w:rsidP="00422710">
      <w:pPr>
        <w:spacing w:after="0" w:line="240" w:lineRule="auto"/>
      </w:pPr>
      <w:r>
        <w:separator/>
      </w:r>
    </w:p>
  </w:footnote>
  <w:footnote w:type="continuationSeparator" w:id="0">
    <w:p w14:paraId="6FD46D64" w14:textId="77777777" w:rsidR="00E06350" w:rsidRDefault="00E06350" w:rsidP="0042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C476" w14:textId="50EE6DA1" w:rsidR="00422710" w:rsidRDefault="00523DEF" w:rsidP="00523DEF">
    <w:pPr>
      <w:pStyle w:val="Zhlav"/>
    </w:pPr>
    <w:r>
      <w:rPr>
        <w:noProof/>
        <w:lang w:eastAsia="cs-CZ"/>
      </w:rPr>
      <w:drawing>
        <wp:inline distT="0" distB="0" distL="0" distR="0" wp14:anchorId="1DF3A133" wp14:editId="267BDB99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38AAC70C" wp14:editId="0AA2DA20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0A250" w14:textId="77777777" w:rsidR="00523DEF" w:rsidRPr="00523DEF" w:rsidRDefault="00523DEF" w:rsidP="00523D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C14"/>
    <w:multiLevelType w:val="hybridMultilevel"/>
    <w:tmpl w:val="02D2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8C4"/>
    <w:multiLevelType w:val="hybridMultilevel"/>
    <w:tmpl w:val="6126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795C"/>
    <w:multiLevelType w:val="hybridMultilevel"/>
    <w:tmpl w:val="3F90F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30C9"/>
    <w:multiLevelType w:val="hybridMultilevel"/>
    <w:tmpl w:val="8386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530BF"/>
    <w:multiLevelType w:val="hybridMultilevel"/>
    <w:tmpl w:val="2FD43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69386">
    <w:abstractNumId w:val="0"/>
  </w:num>
  <w:num w:numId="2" w16cid:durableId="1102191640">
    <w:abstractNumId w:val="2"/>
  </w:num>
  <w:num w:numId="3" w16cid:durableId="447117120">
    <w:abstractNumId w:val="4"/>
  </w:num>
  <w:num w:numId="4" w16cid:durableId="1580021021">
    <w:abstractNumId w:val="3"/>
  </w:num>
  <w:num w:numId="5" w16cid:durableId="144376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E42"/>
    <w:rsid w:val="000E33B7"/>
    <w:rsid w:val="00174176"/>
    <w:rsid w:val="001A76F1"/>
    <w:rsid w:val="003E2C67"/>
    <w:rsid w:val="003F31C6"/>
    <w:rsid w:val="00422710"/>
    <w:rsid w:val="004E3E42"/>
    <w:rsid w:val="00523DEF"/>
    <w:rsid w:val="00537E85"/>
    <w:rsid w:val="00674998"/>
    <w:rsid w:val="00866B9F"/>
    <w:rsid w:val="00910A8D"/>
    <w:rsid w:val="009A326B"/>
    <w:rsid w:val="00A235AF"/>
    <w:rsid w:val="00AC0EAB"/>
    <w:rsid w:val="00AD3D21"/>
    <w:rsid w:val="00B439C2"/>
    <w:rsid w:val="00BA06FE"/>
    <w:rsid w:val="00CB29AD"/>
    <w:rsid w:val="00CD5D18"/>
    <w:rsid w:val="00DD30EC"/>
    <w:rsid w:val="00E06350"/>
    <w:rsid w:val="00E85AB3"/>
    <w:rsid w:val="00F30737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9D5AAC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3E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3E42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A76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710"/>
  </w:style>
  <w:style w:type="paragraph" w:styleId="Zpat">
    <w:name w:val="footer"/>
    <w:basedOn w:val="Normln"/>
    <w:link w:val="ZpatChar"/>
    <w:uiPriority w:val="99"/>
    <w:unhideWhenUsed/>
    <w:rsid w:val="0042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710"/>
  </w:style>
  <w:style w:type="paragraph" w:styleId="Textbubliny">
    <w:name w:val="Balloon Text"/>
    <w:basedOn w:val="Normln"/>
    <w:link w:val="TextbublinyChar"/>
    <w:uiPriority w:val="99"/>
    <w:semiHidden/>
    <w:unhideWhenUsed/>
    <w:rsid w:val="0042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dkazy.rvp.cz/odkaz/z/4607/PYTHAGOROVA-VETA-NAZORN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kluzivniskola.cz/pedagogicka-prace-s-diverzitou/prekladove-slovnick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8" ma:contentTypeDescription="Vytvoří nový dokument" ma:contentTypeScope="" ma:versionID="219633ee06536519b5bb2cf2f6b4bb5e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07b0d2f237b8f5fc4e2504c2bedaa816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1b5925-2ec7-4154-a8b5-784645274aad}" ma:internalName="TaxCatchAll" ma:showField="CatchAllData" ma:web="889b5d77-561b-4745-9149-1638f0c80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1f64583-2bb5-4537-acc3-d73cfec62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UHRUZACKTJEK-540971305-139456</_dlc_DocId>
    <_dlc_DocIdUrl xmlns="889b5d77-561b-4745-9149-1638f0c8024a">
      <Url>https://metaops.sharepoint.com/sites/disk/_layouts/15/DocIdRedir.aspx?ID=UHRUZACKTJEK-540971305-139456</Url>
      <Description>UHRUZACKTJEK-540971305-139456</Description>
    </_dlc_DocIdUrl>
    <lcf76f155ced4ddcb4097134ff3c332f xmlns="c2a121c6-94b7-4d58-84be-104b400a7aae">
      <Terms xmlns="http://schemas.microsoft.com/office/infopath/2007/PartnerControls"/>
    </lcf76f155ced4ddcb4097134ff3c332f>
    <TaxCatchAll xmlns="889b5d77-561b-4745-9149-1638f0c802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838C5-A8C2-4D5C-9244-C0C9CA00C7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FF6B0B-E66D-49D9-BDDC-1D84836AB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FCD6F-3647-417E-96DA-9C4949585860}">
  <ds:schemaRefs>
    <ds:schemaRef ds:uri="http://schemas.microsoft.com/office/2006/metadata/properties"/>
    <ds:schemaRef ds:uri="http://schemas.microsoft.com/office/infopath/2007/PartnerControls"/>
    <ds:schemaRef ds:uri="889b5d77-561b-4745-9149-1638f0c8024a"/>
    <ds:schemaRef ds:uri="c2a121c6-94b7-4d58-84be-104b400a7aae"/>
  </ds:schemaRefs>
</ds:datastoreItem>
</file>

<file path=customXml/itemProps4.xml><?xml version="1.0" encoding="utf-8"?>
<ds:datastoreItem xmlns:ds="http://schemas.openxmlformats.org/officeDocument/2006/customXml" ds:itemID="{9B2F9921-01AF-407F-B108-65EBCD2CA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Kristýna</dc:creator>
  <cp:keywords/>
  <dc:description/>
  <cp:lastModifiedBy>Zuzana Zahradníková</cp:lastModifiedBy>
  <cp:revision>13</cp:revision>
  <cp:lastPrinted>2012-06-25T11:41:00Z</cp:lastPrinted>
  <dcterms:created xsi:type="dcterms:W3CDTF">2012-05-16T10:08:00Z</dcterms:created>
  <dcterms:modified xsi:type="dcterms:W3CDTF">2022-07-29T09:13:00Z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459885f7-d013-4d10-a1b2-fb57770f8be8</vt:lpwstr>
  </property>
</Properties>
</file>