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1280" w14:textId="77777777" w:rsidR="0081273F" w:rsidRDefault="0081273F" w:rsidP="0081273F">
      <w:pPr>
        <w:pStyle w:val="Standard"/>
        <w:spacing w:before="120" w:after="0"/>
      </w:pPr>
      <w:r>
        <w:rPr>
          <w:rFonts w:ascii="Calibri" w:eastAsia="Verdana" w:hAnsi="Calibri" w:cs="Calibri"/>
          <w:b/>
          <w:u w:val="single"/>
        </w:rPr>
        <w:t>Informace o předškolním vzdělávání</w:t>
      </w:r>
    </w:p>
    <w:p w14:paraId="74B49110" w14:textId="77777777" w:rsidR="0081273F" w:rsidRDefault="0081273F" w:rsidP="0081273F">
      <w:pPr>
        <w:pStyle w:val="Standard"/>
        <w:spacing w:before="120" w:after="0"/>
        <w:rPr>
          <w:rFonts w:ascii="Calibri" w:eastAsia="Verdana" w:hAnsi="Calibri" w:cs="Calibri"/>
          <w:b/>
          <w:sz w:val="22"/>
          <w:u w:val="single"/>
        </w:rPr>
      </w:pPr>
      <w:r>
        <w:rPr>
          <w:rFonts w:ascii="Calibri" w:eastAsia="Verdana" w:hAnsi="Calibri" w:cs="Calibri"/>
          <w:b/>
          <w:sz w:val="22"/>
          <w:u w:val="single"/>
        </w:rPr>
        <w:t>Obecné informace o fungování předškolního vzdělávání v ČR</w:t>
      </w:r>
    </w:p>
    <w:p w14:paraId="4E2E077A" w14:textId="77777777" w:rsidR="0081273F" w:rsidRDefault="0081273F" w:rsidP="0081273F">
      <w:pPr>
        <w:pStyle w:val="Standard"/>
        <w:spacing w:before="120" w:after="120"/>
        <w:rPr>
          <w:rFonts w:ascii="Calibri" w:eastAsia="Verdana" w:hAnsi="Calibri" w:cs="Calibri"/>
          <w:sz w:val="22"/>
        </w:rPr>
      </w:pPr>
      <w:r>
        <w:rPr>
          <w:rFonts w:ascii="Calibri" w:eastAsia="Verdana" w:hAnsi="Calibri" w:cs="Calibri"/>
          <w:sz w:val="22"/>
        </w:rPr>
        <w:t>Předškolní vzdělávání je určeno dětem od 3 do 6 let, mohou být však přijaty i děti 2leté. Podporuje výchovné působení rodiny a doplňuje je o specifické podněty. Je etapou vzdělávání, v němž dítě získává především sociální zkušenosti, poznatky o životě kolem a první podněty pro celoživotní učení. Vzdělávání v mateřské škole se řídí kurikulárním dokumentem Rámcový vzdělávací program pro předškolní vzdělávání.</w:t>
      </w:r>
    </w:p>
    <w:p w14:paraId="56E1A61D" w14:textId="77777777" w:rsidR="0081273F" w:rsidRDefault="0081273F" w:rsidP="0081273F">
      <w:pPr>
        <w:pStyle w:val="Standard"/>
        <w:spacing w:before="120" w:after="120"/>
        <w:rPr>
          <w:rFonts w:ascii="Calibri" w:eastAsia="Verdana" w:hAnsi="Calibri" w:cs="Calibri"/>
          <w:sz w:val="22"/>
        </w:rPr>
      </w:pPr>
      <w:r>
        <w:rPr>
          <w:rFonts w:ascii="Calibri" w:eastAsia="Verdana" w:hAnsi="Calibri" w:cs="Calibri"/>
          <w:sz w:val="22"/>
        </w:rPr>
        <w:t xml:space="preserve">Docházka do MŠ je povinná pro děti od 5 let věku (rozhodující je věk dítěte k 31.8. daného roku). Rodiče hradí v MŠ část nákladů na vzdělávání (tzv. školné) a stravné (celkem asi </w:t>
      </w:r>
      <w:proofErr w:type="gramStart"/>
      <w:r>
        <w:rPr>
          <w:rFonts w:ascii="Calibri" w:eastAsia="Verdana" w:hAnsi="Calibri" w:cs="Calibri"/>
          <w:sz w:val="22"/>
        </w:rPr>
        <w:t>1000-2000Kč</w:t>
      </w:r>
      <w:proofErr w:type="gramEnd"/>
      <w:r>
        <w:rPr>
          <w:rFonts w:ascii="Calibri" w:eastAsia="Verdana" w:hAnsi="Calibri" w:cs="Calibri"/>
          <w:sz w:val="22"/>
        </w:rPr>
        <w:t xml:space="preserve"> měsíčně). Děti, které mají nastoupit do povinného předškolního ročníku, jsou přijímány do mateřské školy přednostně a platí pouze náklady na stravné (asi 30-35 Kč za den). Dalším kritériem pro přijetí dítěte může být trvalé bydliště v obci nebo městské části, která danou MŠ zřizuje. Mateřské školy v ČR mohou být státní, soukromé i </w:t>
      </w:r>
      <w:proofErr w:type="gramStart"/>
      <w:r>
        <w:rPr>
          <w:rFonts w:ascii="Calibri" w:eastAsia="Verdana" w:hAnsi="Calibri" w:cs="Calibri"/>
          <w:sz w:val="22"/>
        </w:rPr>
        <w:t>církevní - výše</w:t>
      </w:r>
      <w:proofErr w:type="gramEnd"/>
      <w:r>
        <w:rPr>
          <w:rFonts w:ascii="Calibri" w:eastAsia="Verdana" w:hAnsi="Calibri" w:cs="Calibri"/>
          <w:sz w:val="22"/>
        </w:rPr>
        <w:t xml:space="preserve"> poplatků se proto u jednotlivých MŠ liší.</w:t>
      </w:r>
    </w:p>
    <w:p w14:paraId="29AE9BBA" w14:textId="77777777" w:rsidR="0081273F" w:rsidRDefault="0081273F" w:rsidP="0081273F">
      <w:pPr>
        <w:pStyle w:val="Standard"/>
        <w:spacing w:before="120" w:after="120"/>
        <w:rPr>
          <w:rFonts w:ascii="Calibri" w:eastAsia="Verdana" w:hAnsi="Calibri" w:cs="Calibri"/>
          <w:b/>
          <w:color w:val="0070C0"/>
          <w:sz w:val="8"/>
          <w:szCs w:val="8"/>
          <w:u w:val="single"/>
        </w:rPr>
      </w:pPr>
    </w:p>
    <w:p w14:paraId="64CAB1D0" w14:textId="67B1C0AC" w:rsidR="00391587" w:rsidRDefault="00391587" w:rsidP="0081273F">
      <w:pPr>
        <w:pStyle w:val="Standard"/>
        <w:spacing w:before="120" w:after="0"/>
        <w:rPr>
          <w:rFonts w:ascii="Calibri" w:eastAsia="Verdana" w:hAnsi="Calibri" w:cs="Calibri"/>
          <w:b/>
          <w:color w:val="0070C0"/>
          <w:u w:val="single"/>
        </w:rPr>
      </w:pPr>
      <w:r w:rsidRPr="00391587">
        <w:rPr>
          <w:rFonts w:ascii="Calibri" w:eastAsia="Verdana" w:hAnsi="Calibri" w:cs="Calibri"/>
          <w:b/>
          <w:color w:val="0070C0"/>
          <w:u w:val="single"/>
        </w:rPr>
        <w:t>Les informations sur l'enseignement préscolaire</w:t>
      </w:r>
    </w:p>
    <w:p w14:paraId="0CC4CEC2" w14:textId="77777777" w:rsidR="0081273F" w:rsidRDefault="0081273F" w:rsidP="0081273F">
      <w:pPr>
        <w:pStyle w:val="Standard"/>
        <w:spacing w:before="120" w:after="0"/>
        <w:rPr>
          <w:rFonts w:ascii="Calibri" w:eastAsia="Verdana" w:hAnsi="Calibri" w:cs="Calibri"/>
          <w:b/>
          <w:color w:val="0070C0"/>
          <w:sz w:val="22"/>
          <w:u w:val="single"/>
        </w:rPr>
      </w:pPr>
      <w:r>
        <w:rPr>
          <w:rFonts w:ascii="Calibri" w:eastAsia="Verdana" w:hAnsi="Calibri" w:cs="Calibri"/>
          <w:b/>
          <w:color w:val="0070C0"/>
          <w:sz w:val="22"/>
          <w:u w:val="single"/>
        </w:rPr>
        <w:t>Les informations générales sur le fonctionnement de l'enseignement préscolaire en République tchèque</w:t>
      </w:r>
    </w:p>
    <w:p w14:paraId="753CB2BA" w14:textId="77777777" w:rsidR="0081273F" w:rsidRPr="0081273F" w:rsidRDefault="0081273F" w:rsidP="0081273F">
      <w:pPr>
        <w:pStyle w:val="Standard"/>
        <w:spacing w:before="120" w:after="120"/>
        <w:rPr>
          <w:rFonts w:ascii="Calibri" w:eastAsia="Verdana" w:hAnsi="Calibri" w:cs="Calibri"/>
          <w:color w:val="0070C0"/>
          <w:sz w:val="20"/>
          <w:szCs w:val="20"/>
        </w:rPr>
      </w:pPr>
      <w:r w:rsidRPr="0081273F">
        <w:rPr>
          <w:rFonts w:ascii="Calibri" w:eastAsia="Verdana" w:hAnsi="Calibri" w:cs="Calibri"/>
          <w:color w:val="0070C0"/>
          <w:sz w:val="20"/>
          <w:szCs w:val="20"/>
        </w:rPr>
        <w:t>L'enseignement préscolaire est destiné aux enfants de 3 à 6 ans, mais même les enfants qui ont 2 ans peuvent être admis. L'enseignement développe l'impact de  famille  en rajoutant les initiatives spécifiques. C'est une étape de l'éducation dans laquelle l'enfant acquiert avant tout une expérience sociale, une connaissance de la vie autour de soi et la première inititation à l'apprentissage tout au long de la vie. L’enseignement à l’école maternelle est réglementé par un document  Programme cadre pour l’éducation préscolaire.</w:t>
      </w:r>
    </w:p>
    <w:p w14:paraId="34A18A00" w14:textId="77777777" w:rsidR="0081273F" w:rsidRPr="0081273F" w:rsidRDefault="0081273F" w:rsidP="0081273F">
      <w:pPr>
        <w:pStyle w:val="Standard"/>
        <w:spacing w:before="120" w:after="120"/>
        <w:rPr>
          <w:rFonts w:ascii="Calibri" w:eastAsia="Verdana" w:hAnsi="Calibri" w:cs="Calibri"/>
          <w:color w:val="0070C0"/>
          <w:sz w:val="20"/>
          <w:szCs w:val="20"/>
        </w:rPr>
      </w:pPr>
      <w:r w:rsidRPr="0081273F">
        <w:rPr>
          <w:rFonts w:ascii="Calibri" w:eastAsia="Verdana" w:hAnsi="Calibri" w:cs="Calibri"/>
          <w:color w:val="0070C0"/>
          <w:sz w:val="20"/>
          <w:szCs w:val="20"/>
        </w:rPr>
        <w:t xml:space="preserve">La fréquentation de l'école maternelle est obligatoire pour les enfants à partir de 5 ans (l’âge de l’enfant juqu'au 31 août de l’année concernée). A l'école maternelle les parents paient une partie des frais de l’éducation (frais de scolarité) et des repas ce qui donne ensemle environ de 1000 à 2000 CZK par mois. Les enfants qui doivent faire leur année scolaire obligatoire sont acceptés en priorité à l'école  maternelle et ne paient que le coût de la pension (environ 30 à 35 CZK par jour). La résidence permanente dans la même commune ou dans le même quartier par laquelle/lequel  l'école est établie peut être aussi une raison d'accepter l'enfant. Les écoles maternelles en République tchèque peuvent être publiques, privées et </w:t>
      </w:r>
      <w:proofErr w:type="gramStart"/>
      <w:r w:rsidRPr="0081273F">
        <w:rPr>
          <w:rFonts w:ascii="Calibri" w:eastAsia="Verdana" w:hAnsi="Calibri" w:cs="Calibri"/>
          <w:color w:val="0070C0"/>
          <w:sz w:val="20"/>
          <w:szCs w:val="20"/>
        </w:rPr>
        <w:t>religieuses - le</w:t>
      </w:r>
      <w:proofErr w:type="gramEnd"/>
      <w:r w:rsidRPr="0081273F">
        <w:rPr>
          <w:rFonts w:ascii="Calibri" w:eastAsia="Verdana" w:hAnsi="Calibri" w:cs="Calibri"/>
          <w:color w:val="0070C0"/>
          <w:sz w:val="20"/>
          <w:szCs w:val="20"/>
        </w:rPr>
        <w:t xml:space="preserve"> montant des frais est donc différent pour chaque type.</w:t>
      </w:r>
    </w:p>
    <w:p w14:paraId="3437E25D" w14:textId="77777777" w:rsidR="0081273F" w:rsidRPr="0081273F" w:rsidRDefault="0081273F" w:rsidP="0081273F">
      <w:pPr>
        <w:spacing w:before="120" w:after="120"/>
        <w:rPr>
          <w:rFonts w:ascii="Calibri" w:eastAsia="Verdana" w:hAnsi="Calibri" w:cs="Calibri"/>
          <w:color w:val="0070C0"/>
          <w:kern w:val="3"/>
          <w:sz w:val="22"/>
        </w:rPr>
        <w:sectPr w:rsidR="0081273F" w:rsidRPr="0081273F" w:rsidSect="00244FCB">
          <w:headerReference w:type="default" r:id="rId10"/>
          <w:footerReference w:type="default" r:id="rId11"/>
          <w:pgSz w:w="16838" w:h="11906" w:orient="landscape"/>
          <w:pgMar w:top="1134" w:right="567" w:bottom="1134" w:left="567" w:header="284" w:footer="283" w:gutter="0"/>
          <w:pgNumType w:start="2"/>
          <w:cols w:num="2" w:space="708"/>
          <w:docGrid w:linePitch="360"/>
        </w:sectPr>
      </w:pPr>
    </w:p>
    <w:p w14:paraId="5EF3E4BF" w14:textId="77777777" w:rsidR="0081273F" w:rsidRPr="00A10A51" w:rsidRDefault="0081273F" w:rsidP="0081273F">
      <w:pPr>
        <w:spacing w:before="120" w:after="120"/>
        <w:rPr>
          <w:rFonts w:asciiTheme="minorHAnsi" w:eastAsia="Verdana" w:hAnsiTheme="minorHAnsi" w:cstheme="minorHAnsi"/>
        </w:rPr>
      </w:pPr>
    </w:p>
    <w:p w14:paraId="4D9B60DB" w14:textId="77777777" w:rsidR="0081273F" w:rsidRDefault="0081273F" w:rsidP="0081273F">
      <w:pPr>
        <w:pStyle w:val="Standard"/>
        <w:spacing w:before="120" w:after="120"/>
        <w:rPr>
          <w:rFonts w:ascii="Calibri" w:eastAsia="Verdana" w:hAnsi="Calibri" w:cs="Calibri"/>
          <w:sz w:val="22"/>
        </w:rPr>
        <w:sectPr w:rsidR="0081273F" w:rsidSect="00244FCB">
          <w:footerReference w:type="default" r:id="rId12"/>
          <w:type w:val="continuous"/>
          <w:pgSz w:w="16838" w:h="11906" w:orient="landscape"/>
          <w:pgMar w:top="1134" w:right="567" w:bottom="1134" w:left="567" w:header="284" w:footer="283" w:gutter="0"/>
          <w:pgNumType w:start="2"/>
          <w:cols w:space="708"/>
          <w:docGrid w:linePitch="360"/>
        </w:sectPr>
      </w:pPr>
    </w:p>
    <w:p w14:paraId="5CDF99DB" w14:textId="77777777" w:rsidR="0081273F" w:rsidRDefault="0081273F" w:rsidP="0081273F">
      <w:pPr>
        <w:pStyle w:val="Standard"/>
        <w:spacing w:before="120" w:after="120"/>
        <w:rPr>
          <w:rFonts w:ascii="Calibri" w:eastAsia="Verdana" w:hAnsi="Calibri" w:cs="Calibri"/>
          <w:sz w:val="22"/>
        </w:rPr>
      </w:pPr>
    </w:p>
    <w:p w14:paraId="091E60C5" w14:textId="77777777" w:rsidR="0081273F" w:rsidRDefault="0081273F" w:rsidP="0081273F">
      <w:pPr>
        <w:pStyle w:val="Standard"/>
        <w:spacing w:before="120" w:after="120"/>
      </w:pPr>
      <w:r>
        <w:rPr>
          <w:rFonts w:ascii="Calibri" w:eastAsia="Verdana" w:hAnsi="Calibri" w:cs="Calibri"/>
          <w:sz w:val="22"/>
        </w:rPr>
        <w:t>Dítě se přihlašuje k docházce do MŠ na půl dne (odchod po obědě) nebo na celý den. MŠ zpravidla poskytuje dítěti dopolední svačinu, oběd a odpolední svačinu včetně nápojů.</w:t>
      </w:r>
    </w:p>
    <w:p w14:paraId="6D7322DB" w14:textId="77777777" w:rsidR="0081273F" w:rsidRDefault="0081273F" w:rsidP="0081273F">
      <w:pPr>
        <w:pStyle w:val="Standard"/>
        <w:spacing w:before="120" w:after="120"/>
        <w:rPr>
          <w:rFonts w:ascii="Calibri" w:eastAsia="Verdana" w:hAnsi="Calibri" w:cs="Calibri"/>
          <w:sz w:val="22"/>
        </w:rPr>
      </w:pPr>
      <w:r>
        <w:rPr>
          <w:rFonts w:ascii="Calibri" w:eastAsia="Verdana" w:hAnsi="Calibri" w:cs="Calibri"/>
          <w:sz w:val="22"/>
        </w:rPr>
        <w:t xml:space="preserve">Školní rok v MŠ začíná 1. září a </w:t>
      </w:r>
      <w:proofErr w:type="gramStart"/>
      <w:r>
        <w:rPr>
          <w:rFonts w:ascii="Calibri" w:eastAsia="Verdana" w:hAnsi="Calibri" w:cs="Calibri"/>
          <w:sz w:val="22"/>
        </w:rPr>
        <w:t>končí</w:t>
      </w:r>
      <w:proofErr w:type="gramEnd"/>
      <w:r>
        <w:rPr>
          <w:rFonts w:ascii="Calibri" w:eastAsia="Verdana" w:hAnsi="Calibri" w:cs="Calibri"/>
          <w:sz w:val="22"/>
        </w:rPr>
        <w:t xml:space="preserve"> 30. června, v červenci a srpnu mají otevřeno pouze některé MŠ a docházka dětí se řídí zvláštními pravidly. Děti</w:t>
      </w:r>
    </w:p>
    <w:p w14:paraId="750D1BB9" w14:textId="77777777" w:rsidR="0081273F" w:rsidRDefault="0081273F" w:rsidP="0081273F">
      <w:pPr>
        <w:pStyle w:val="Standard"/>
        <w:spacing w:before="120" w:after="120"/>
        <w:rPr>
          <w:rFonts w:ascii="Calibri" w:eastAsia="Verdana" w:hAnsi="Calibri" w:cs="Calibri"/>
          <w:sz w:val="22"/>
        </w:rPr>
      </w:pPr>
      <w:r>
        <w:rPr>
          <w:rFonts w:ascii="Calibri" w:eastAsia="Verdana" w:hAnsi="Calibri" w:cs="Calibri"/>
          <w:sz w:val="22"/>
        </w:rPr>
        <w:t>jsou ve třídách umístěny podle věku nebo jsou ve třídách věkově smíšených. Třídu o počtu max. 24-28 dětí vedou 2 učitelky. MŠ je řízena ředitelkou, která je odpovědna za přijetí dítěte.</w:t>
      </w:r>
    </w:p>
    <w:p w14:paraId="12ED8544" w14:textId="77777777" w:rsidR="0081273F" w:rsidRDefault="0081273F" w:rsidP="0081273F">
      <w:pPr>
        <w:pStyle w:val="Standard"/>
        <w:spacing w:before="120" w:after="120"/>
        <w:rPr>
          <w:rFonts w:ascii="Calibri" w:eastAsia="Verdana" w:hAnsi="Calibri" w:cs="Calibri"/>
          <w:sz w:val="22"/>
        </w:rPr>
      </w:pPr>
    </w:p>
    <w:p w14:paraId="3D1E3B53" w14:textId="77777777" w:rsidR="0081273F" w:rsidRDefault="0081273F" w:rsidP="0081273F">
      <w:pPr>
        <w:pStyle w:val="Standard"/>
        <w:spacing w:before="120" w:after="120"/>
        <w:rPr>
          <w:rFonts w:ascii="Calibri" w:eastAsia="Verdana" w:hAnsi="Calibri" w:cs="Calibri"/>
          <w:sz w:val="22"/>
        </w:rPr>
      </w:pPr>
    </w:p>
    <w:p w14:paraId="4BD6ACC7" w14:textId="77777777" w:rsidR="0081273F" w:rsidRDefault="0081273F" w:rsidP="0081273F">
      <w:pPr>
        <w:pStyle w:val="Standard"/>
        <w:spacing w:before="120" w:after="120"/>
        <w:rPr>
          <w:rFonts w:ascii="Calibri" w:eastAsia="Verdana" w:hAnsi="Calibri" w:cs="Calibri"/>
          <w:color w:val="0070C0"/>
          <w:sz w:val="22"/>
        </w:rPr>
      </w:pPr>
      <w:r>
        <w:rPr>
          <w:rFonts w:ascii="Calibri" w:eastAsia="Verdana" w:hAnsi="Calibri" w:cs="Calibri"/>
          <w:color w:val="0070C0"/>
          <w:sz w:val="22"/>
        </w:rPr>
        <w:t xml:space="preserve">L'enfant peut rester à l'école maternelle pour la demi-journée (le départ après le déjeuner) ou pour toute la journée. Le goûter de </w:t>
      </w:r>
      <w:proofErr w:type="gramStart"/>
      <w:r>
        <w:rPr>
          <w:rFonts w:ascii="Calibri" w:eastAsia="Verdana" w:hAnsi="Calibri" w:cs="Calibri"/>
          <w:color w:val="0070C0"/>
          <w:sz w:val="22"/>
        </w:rPr>
        <w:t>matin,  le</w:t>
      </w:r>
      <w:proofErr w:type="gramEnd"/>
      <w:r>
        <w:rPr>
          <w:rFonts w:ascii="Calibri" w:eastAsia="Verdana" w:hAnsi="Calibri" w:cs="Calibri"/>
          <w:color w:val="0070C0"/>
          <w:sz w:val="22"/>
        </w:rPr>
        <w:t xml:space="preserve"> déjeuner et le goûter d'après-midi (boissons comprises) sont  généralement fournis par l'école maternelle.</w:t>
      </w:r>
    </w:p>
    <w:p w14:paraId="05AF2F07" w14:textId="77777777" w:rsidR="0081273F" w:rsidRDefault="0081273F" w:rsidP="0081273F">
      <w:pPr>
        <w:pStyle w:val="Standard"/>
        <w:spacing w:before="120" w:after="120"/>
      </w:pPr>
      <w:r>
        <w:rPr>
          <w:rFonts w:ascii="Calibri" w:eastAsia="Verdana" w:hAnsi="Calibri" w:cs="Calibri"/>
          <w:color w:val="0070C0"/>
          <w:sz w:val="22"/>
        </w:rPr>
        <w:t>L’année scolaire à la maternelle commence le 1er septembre et se termine le 30 juin, seules quelques écoles maternelles sont ouvertes en juillet et en août, et  cela est régie par des règles spéciales.</w:t>
      </w:r>
    </w:p>
    <w:p w14:paraId="2CABE620" w14:textId="77777777" w:rsidR="0081273F" w:rsidRDefault="0081273F" w:rsidP="0081273F">
      <w:pPr>
        <w:pStyle w:val="Standard"/>
        <w:spacing w:before="120" w:after="120"/>
        <w:rPr>
          <w:rFonts w:ascii="Calibri" w:eastAsia="Verdana" w:hAnsi="Calibri" w:cs="Calibri"/>
          <w:color w:val="0070C0"/>
          <w:sz w:val="22"/>
        </w:rPr>
      </w:pPr>
      <w:r>
        <w:rPr>
          <w:rFonts w:ascii="Calibri" w:eastAsia="Verdana" w:hAnsi="Calibri" w:cs="Calibri"/>
          <w:color w:val="0070C0"/>
          <w:sz w:val="22"/>
        </w:rPr>
        <w:t>Il y ades classes d'après l'âge d'enfant mais aussi il y a des classes d'âge mixte. Une classe de 24 à 28 enfants est dirigée par 2 enseignants. Le directeur de la maternelle est responsable de l’admission de l’enfant.</w:t>
      </w:r>
    </w:p>
    <w:p w14:paraId="59A83782" w14:textId="77777777" w:rsidR="0081273F" w:rsidRDefault="0081273F" w:rsidP="0081273F">
      <w:pPr>
        <w:pStyle w:val="Standard"/>
        <w:spacing w:before="120" w:after="120"/>
        <w:rPr>
          <w:rFonts w:ascii="Calibri" w:eastAsia="Verdana" w:hAnsi="Calibri" w:cs="Calibri"/>
          <w:sz w:val="22"/>
        </w:rPr>
        <w:sectPr w:rsidR="0081273F" w:rsidSect="00244FCB">
          <w:headerReference w:type="default" r:id="rId13"/>
          <w:type w:val="continuous"/>
          <w:pgSz w:w="16838" w:h="11906" w:orient="landscape"/>
          <w:pgMar w:top="1134" w:right="567" w:bottom="1134" w:left="567" w:header="284" w:footer="283" w:gutter="0"/>
          <w:pgNumType w:start="2"/>
          <w:cols w:num="2" w:space="708"/>
          <w:docGrid w:linePitch="360"/>
        </w:sectPr>
      </w:pPr>
    </w:p>
    <w:p w14:paraId="256666EC" w14:textId="77777777" w:rsidR="0081273F" w:rsidRDefault="0081273F" w:rsidP="0081273F">
      <w:pPr>
        <w:pStyle w:val="Standard"/>
        <w:spacing w:before="120" w:after="120"/>
        <w:rPr>
          <w:rFonts w:ascii="Calibri" w:eastAsia="Verdana" w:hAnsi="Calibri" w:cs="Calibri"/>
          <w:sz w:val="22"/>
        </w:rPr>
      </w:pPr>
    </w:p>
    <w:p w14:paraId="64872667" w14:textId="77777777" w:rsidR="00C8173A" w:rsidRDefault="00C8173A"/>
    <w:sectPr w:rsidR="00C8173A" w:rsidSect="00244FCB">
      <w:type w:val="continuous"/>
      <w:pgSz w:w="16838" w:h="11906" w:orient="landscape"/>
      <w:pgMar w:top="1134" w:right="567" w:bottom="1134" w:left="567" w:header="284"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2261" w14:textId="77777777" w:rsidR="00244FCB" w:rsidRDefault="00244FCB" w:rsidP="0081273F">
      <w:pPr>
        <w:spacing w:after="0" w:line="240" w:lineRule="auto"/>
      </w:pPr>
      <w:r>
        <w:separator/>
      </w:r>
    </w:p>
  </w:endnote>
  <w:endnote w:type="continuationSeparator" w:id="0">
    <w:p w14:paraId="40A64C7D" w14:textId="77777777" w:rsidR="00244FCB" w:rsidRDefault="00244FCB" w:rsidP="0081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18530"/>
      <w:docPartObj>
        <w:docPartGallery w:val="Page Numbers (Bottom of Page)"/>
        <w:docPartUnique/>
      </w:docPartObj>
    </w:sdtPr>
    <w:sdtContent>
      <w:p w14:paraId="542CE671" w14:textId="77777777" w:rsidR="00000000" w:rsidRDefault="0081273F">
        <w:pPr>
          <w:pStyle w:val="Zpat"/>
          <w:jc w:val="right"/>
        </w:pPr>
        <w:r>
          <w:t>1</w:t>
        </w:r>
      </w:p>
    </w:sdtContent>
  </w:sdt>
  <w:p w14:paraId="59916979" w14:textId="77777777" w:rsidR="00000000" w:rsidRPr="002A4349" w:rsidRDefault="00000000" w:rsidP="00E25221">
    <w:pPr>
      <w:pStyle w:val="Zpat"/>
      <w:tabs>
        <w:tab w:val="clear" w:pos="4536"/>
        <w:tab w:val="clear" w:pos="9072"/>
        <w:tab w:val="center" w:pos="1134"/>
        <w:tab w:val="right" w:pos="3119"/>
      </w:tabs>
      <w:jc w:val="center"/>
      <w:rPr>
        <w:i/>
        <w:sz w:val="20"/>
      </w:rPr>
    </w:pPr>
  </w:p>
  <w:p w14:paraId="3A881A6E" w14:textId="77777777" w:rsidR="0081273F" w:rsidRPr="00962592" w:rsidRDefault="0081273F" w:rsidP="0081273F">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126AAEC7" w14:textId="77777777" w:rsidR="0081273F" w:rsidRDefault="0081273F" w:rsidP="0081273F">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2EFBE6DE" wp14:editId="10D490C4">
          <wp:extent cx="704850" cy="476250"/>
          <wp:effectExtent l="0" t="0" r="0" b="0"/>
          <wp:docPr id="13"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5C278EF" wp14:editId="50A63879">
          <wp:extent cx="1676400" cy="476250"/>
          <wp:effectExtent l="0" t="0" r="0" b="0"/>
          <wp:docPr id="14"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13D15705" wp14:editId="61042538">
          <wp:extent cx="981075" cy="466725"/>
          <wp:effectExtent l="0" t="0" r="9525" b="9525"/>
          <wp:docPr id="1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994533"/>
      <w:docPartObj>
        <w:docPartGallery w:val="Page Numbers (Bottom of Page)"/>
        <w:docPartUnique/>
      </w:docPartObj>
    </w:sdtPr>
    <w:sdtContent>
      <w:p w14:paraId="54429E59" w14:textId="77777777" w:rsidR="0081273F" w:rsidRDefault="0081273F">
        <w:pPr>
          <w:pStyle w:val="Zpat"/>
          <w:jc w:val="right"/>
        </w:pPr>
        <w:r>
          <w:t>2</w:t>
        </w:r>
      </w:p>
    </w:sdtContent>
  </w:sdt>
  <w:p w14:paraId="1AC1A6E2" w14:textId="77777777" w:rsidR="0081273F" w:rsidRPr="002A4349" w:rsidRDefault="0081273F" w:rsidP="00E25221">
    <w:pPr>
      <w:pStyle w:val="Zpat"/>
      <w:tabs>
        <w:tab w:val="clear" w:pos="4536"/>
        <w:tab w:val="clear" w:pos="9072"/>
        <w:tab w:val="center" w:pos="1134"/>
        <w:tab w:val="right" w:pos="3119"/>
      </w:tabs>
      <w:jc w:val="center"/>
      <w:rPr>
        <w:i/>
        <w:sz w:val="20"/>
      </w:rPr>
    </w:pPr>
  </w:p>
  <w:p w14:paraId="122BEAD2" w14:textId="77777777" w:rsidR="0081273F" w:rsidRDefault="0081273F" w:rsidP="0081273F">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89A4" w14:textId="77777777" w:rsidR="00244FCB" w:rsidRDefault="00244FCB" w:rsidP="0081273F">
      <w:pPr>
        <w:spacing w:after="0" w:line="240" w:lineRule="auto"/>
      </w:pPr>
      <w:r>
        <w:separator/>
      </w:r>
    </w:p>
  </w:footnote>
  <w:footnote w:type="continuationSeparator" w:id="0">
    <w:p w14:paraId="2E61A436" w14:textId="77777777" w:rsidR="00244FCB" w:rsidRDefault="00244FCB" w:rsidP="00812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C6F8" w14:textId="2AF44683" w:rsidR="00000000" w:rsidRPr="00B9070C" w:rsidRDefault="00B9070C" w:rsidP="00B9070C">
    <w:pPr>
      <w:spacing w:after="0" w:line="240" w:lineRule="auto"/>
      <w:rPr>
        <w:i/>
        <w:sz w:val="16"/>
        <w:szCs w:val="16"/>
      </w:rPr>
    </w:pPr>
    <w:r>
      <w:rPr>
        <w:i/>
        <w:noProof/>
        <w:sz w:val="16"/>
        <w:szCs w:val="16"/>
      </w:rPr>
      <w:drawing>
        <wp:inline distT="0" distB="0" distL="0" distR="0" wp14:anchorId="5189F394" wp14:editId="743D91A5">
          <wp:extent cx="1195070" cy="487680"/>
          <wp:effectExtent l="0" t="0" r="0" b="0"/>
          <wp:docPr id="8020805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noProof/>
        <w:sz w:val="16"/>
        <w:szCs w:val="16"/>
      </w:rPr>
      <w:drawing>
        <wp:inline distT="0" distB="0" distL="0" distR="0" wp14:anchorId="1B16287E" wp14:editId="10E08DF4">
          <wp:extent cx="2054225" cy="506095"/>
          <wp:effectExtent l="0" t="0" r="0" b="0"/>
          <wp:docPr id="116719117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506095"/>
                  </a:xfrm>
                  <a:prstGeom prst="rect">
                    <a:avLst/>
                  </a:prstGeom>
                  <a:noFill/>
                </pic:spPr>
              </pic:pic>
            </a:graphicData>
          </a:graphic>
        </wp:inline>
      </w:drawing>
    </w:r>
  </w:p>
  <w:p w14:paraId="3379C414" w14:textId="77777777" w:rsidR="0081273F" w:rsidRDefault="0081273F" w:rsidP="0081273F">
    <w:pPr>
      <w:spacing w:after="0" w:line="240" w:lineRule="auto"/>
      <w:rPr>
        <w:rFonts w:asciiTheme="minorHAnsi" w:hAnsiTheme="minorHAnsi" w:cstheme="minorHAnsi"/>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6BFA6ED9" w14:textId="77777777" w:rsidR="00B9070C" w:rsidRDefault="00B9070C" w:rsidP="0081273F">
    <w:pPr>
      <w:spacing w:after="0" w:line="240" w:lineRule="auto"/>
      <w:rPr>
        <w:rFonts w:asciiTheme="minorHAnsi" w:hAnsiTheme="minorHAnsi" w:cstheme="minorHAnsi"/>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67AD" w14:textId="1CBD22E3" w:rsidR="0081273F" w:rsidRDefault="00B9070C" w:rsidP="00350389">
    <w:pPr>
      <w:spacing w:after="0" w:line="240" w:lineRule="auto"/>
      <w:rPr>
        <w:i/>
        <w:sz w:val="16"/>
        <w:szCs w:val="16"/>
      </w:rPr>
    </w:pPr>
    <w:r>
      <w:rPr>
        <w:i/>
        <w:noProof/>
        <w:sz w:val="16"/>
        <w:szCs w:val="16"/>
      </w:rPr>
      <w:drawing>
        <wp:inline distT="0" distB="0" distL="0" distR="0" wp14:anchorId="018CB9B0" wp14:editId="00B40B2F">
          <wp:extent cx="1195070" cy="487680"/>
          <wp:effectExtent l="0" t="0" r="0" b="0"/>
          <wp:docPr id="152341473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noProof/>
        <w:sz w:val="16"/>
        <w:szCs w:val="16"/>
      </w:rPr>
      <w:drawing>
        <wp:inline distT="0" distB="0" distL="0" distR="0" wp14:anchorId="09980C92" wp14:editId="0674B61B">
          <wp:extent cx="2054225" cy="506095"/>
          <wp:effectExtent l="0" t="0" r="0" b="0"/>
          <wp:docPr id="1292445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506095"/>
                  </a:xfrm>
                  <a:prstGeom prst="rect">
                    <a:avLst/>
                  </a:prstGeom>
                  <a:noFill/>
                </pic:spPr>
              </pic:pic>
            </a:graphicData>
          </a:graphic>
        </wp:inline>
      </w:drawing>
    </w:r>
  </w:p>
  <w:p w14:paraId="1D6737E8" w14:textId="2DAB9DB9" w:rsidR="0081273F" w:rsidRPr="00E747CC" w:rsidRDefault="0081273F" w:rsidP="0081273F">
    <w:pPr>
      <w:spacing w:after="0" w:line="240" w:lineRule="auto"/>
      <w:rPr>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73F"/>
    <w:rsid w:val="00244FCB"/>
    <w:rsid w:val="00391587"/>
    <w:rsid w:val="004401CF"/>
    <w:rsid w:val="0081273F"/>
    <w:rsid w:val="00B9070C"/>
    <w:rsid w:val="00C81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BD57"/>
  <w15:docId w15:val="{295677A7-841C-47DC-9FCE-38536D4D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273F"/>
    <w:pPr>
      <w:spacing w:after="200" w:line="360" w:lineRule="auto"/>
      <w:jc w:val="both"/>
    </w:pPr>
    <w:rPr>
      <w:rFonts w:ascii="Times New Roman" w:hAnsi="Times New Roman"/>
      <w:sz w:val="24"/>
    </w:rPr>
  </w:style>
  <w:style w:type="paragraph" w:styleId="Nadpis3">
    <w:name w:val="heading 3"/>
    <w:basedOn w:val="Normln"/>
    <w:link w:val="Nadpis3Char"/>
    <w:uiPriority w:val="9"/>
    <w:qFormat/>
    <w:rsid w:val="0081273F"/>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1273F"/>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8127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273F"/>
    <w:rPr>
      <w:rFonts w:ascii="Times New Roman" w:hAnsi="Times New Roman"/>
      <w:sz w:val="24"/>
    </w:rPr>
  </w:style>
  <w:style w:type="paragraph" w:styleId="Zpat">
    <w:name w:val="footer"/>
    <w:basedOn w:val="Normln"/>
    <w:link w:val="ZpatChar"/>
    <w:uiPriority w:val="99"/>
    <w:unhideWhenUsed/>
    <w:rsid w:val="0081273F"/>
    <w:pPr>
      <w:tabs>
        <w:tab w:val="center" w:pos="4536"/>
        <w:tab w:val="right" w:pos="9072"/>
      </w:tabs>
      <w:spacing w:after="0" w:line="240" w:lineRule="auto"/>
    </w:pPr>
  </w:style>
  <w:style w:type="character" w:customStyle="1" w:styleId="ZpatChar">
    <w:name w:val="Zápatí Char"/>
    <w:basedOn w:val="Standardnpsmoodstavce"/>
    <w:link w:val="Zpat"/>
    <w:uiPriority w:val="99"/>
    <w:rsid w:val="0081273F"/>
    <w:rPr>
      <w:rFonts w:ascii="Times New Roman" w:hAnsi="Times New Roman"/>
      <w:sz w:val="24"/>
    </w:rPr>
  </w:style>
  <w:style w:type="character" w:styleId="Hypertextovodkaz">
    <w:name w:val="Hyperlink"/>
    <w:basedOn w:val="Standardnpsmoodstavce"/>
    <w:uiPriority w:val="99"/>
    <w:unhideWhenUsed/>
    <w:rsid w:val="0081273F"/>
    <w:rPr>
      <w:color w:val="0000FF"/>
      <w:u w:val="single"/>
    </w:rPr>
  </w:style>
  <w:style w:type="paragraph" w:customStyle="1" w:styleId="Standard">
    <w:name w:val="Standard"/>
    <w:rsid w:val="0081273F"/>
    <w:pPr>
      <w:suppressAutoHyphens/>
      <w:autoSpaceDN w:val="0"/>
      <w:spacing w:after="200" w:line="360" w:lineRule="auto"/>
      <w:jc w:val="both"/>
      <w:textAlignment w:val="baseline"/>
    </w:pPr>
    <w:rPr>
      <w:rFonts w:ascii="Times New Roman" w:eastAsia="Times New Roman" w:hAnsi="Times New Roman" w:cs="Times New Roman"/>
      <w:kern w:val="3"/>
      <w:sz w:val="24"/>
    </w:rPr>
  </w:style>
  <w:style w:type="paragraph" w:styleId="Textbubliny">
    <w:name w:val="Balloon Text"/>
    <w:basedOn w:val="Normln"/>
    <w:link w:val="TextbublinyChar"/>
    <w:uiPriority w:val="99"/>
    <w:semiHidden/>
    <w:unhideWhenUsed/>
    <w:rsid w:val="004401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0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UHRUZACKTJEK-540971305-208950</_dlc_DocId>
    <_dlc_DocIdUrl xmlns="889b5d77-561b-4745-9149-1638f0c8024a">
      <Url>https://metaops.sharepoint.com/sites/disk/_layouts/15/DocIdRedir.aspx?ID=UHRUZACKTJEK-540971305-208950</Url>
      <Description>UHRUZACKTJEK-540971305-208950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AA682-14FD-4482-9A03-E547197ED522}">
  <ds:schemaRefs>
    <ds:schemaRef ds:uri="http://schemas.microsoft.com/office/2006/metadata/properties"/>
    <ds:schemaRef ds:uri="http://schemas.microsoft.com/office/infopath/2007/PartnerControls"/>
    <ds:schemaRef ds:uri="889b5d77-561b-4745-9149-1638f0c8024a"/>
  </ds:schemaRefs>
</ds:datastoreItem>
</file>

<file path=customXml/itemProps2.xml><?xml version="1.0" encoding="utf-8"?>
<ds:datastoreItem xmlns:ds="http://schemas.openxmlformats.org/officeDocument/2006/customXml" ds:itemID="{6CCBEDB9-B5E3-4F34-96FB-BA3386340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43D9F-3988-4B4E-887D-745B2C071B64}">
  <ds:schemaRefs>
    <ds:schemaRef ds:uri="http://schemas.microsoft.com/sharepoint/events"/>
  </ds:schemaRefs>
</ds:datastoreItem>
</file>

<file path=customXml/itemProps4.xml><?xml version="1.0" encoding="utf-8"?>
<ds:datastoreItem xmlns:ds="http://schemas.openxmlformats.org/officeDocument/2006/customXml" ds:itemID="{8E73EDF4-B2BB-4FB5-9FD1-DD5FCD708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545</Words>
  <Characters>3220</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Chmelíková</dc:creator>
  <cp:keywords/>
  <dc:description/>
  <cp:lastModifiedBy>Jaroslav Zahradnik</cp:lastModifiedBy>
  <cp:revision>4</cp:revision>
  <dcterms:created xsi:type="dcterms:W3CDTF">2019-06-28T07:49:00Z</dcterms:created>
  <dcterms:modified xsi:type="dcterms:W3CDTF">2024-02-09T09:32:00Z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89b10a0a-3ec0-4e31-8e02-7a6b675592f6</vt:lpwstr>
  </property>
</Properties>
</file>