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BBAA" w14:textId="1D186F1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6E53B1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6E53B1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6E53B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1.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-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6E53B1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6E53B1">
        <w:rPr>
          <w:rFonts w:asciiTheme="minorHAnsi" w:hAnsiTheme="minorHAnsi" w:cstheme="minorHAnsi"/>
          <w:color w:val="000000"/>
          <w:szCs w:val="24"/>
        </w:rPr>
        <w:t xml:space="preserve">V případě, že 4. den zvládá dítě odloučení těžce, prodloužíme adaptační období na </w:t>
      </w:r>
      <w:proofErr w:type="gramStart"/>
      <w:r w:rsidRPr="006E53B1">
        <w:rPr>
          <w:rFonts w:asciiTheme="minorHAnsi" w:hAnsiTheme="minorHAnsi" w:cstheme="minorHAnsi"/>
          <w:color w:val="000000"/>
          <w:szCs w:val="24"/>
        </w:rPr>
        <w:t>2 - 3</w:t>
      </w:r>
      <w:proofErr w:type="gramEnd"/>
      <w:r w:rsidRPr="006E53B1">
        <w:rPr>
          <w:rFonts w:asciiTheme="minorHAnsi" w:hAnsiTheme="minorHAnsi" w:cstheme="minorHAnsi"/>
          <w:color w:val="000000"/>
          <w:szCs w:val="24"/>
        </w:rPr>
        <w:t xml:space="preserve"> týdny a s dalším pokusem o odloučení pár dní počkáme. S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6E53B1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DE2A75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1993D36F" w14:textId="2BDCD704" w:rsidR="006E53B1" w:rsidRDefault="007A4183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Cs w:val="24"/>
        </w:rPr>
      </w:pPr>
      <w:r>
        <w:rPr>
          <w:rFonts w:asciiTheme="minorHAnsi" w:eastAsia="Times New Roman" w:hAnsiTheme="minorHAnsi" w:cstheme="minorHAnsi"/>
          <w:color w:val="0070C0"/>
          <w:szCs w:val="24"/>
        </w:rPr>
        <w:t xml:space="preserve">Để trẻ có thể thích ứng thuận lợi </w:t>
      </w:r>
      <w:r w:rsidR="008936D7">
        <w:rPr>
          <w:rFonts w:asciiTheme="minorHAnsi" w:eastAsia="Times New Roman" w:hAnsiTheme="minorHAnsi" w:cstheme="minorHAnsi"/>
          <w:color w:val="0070C0"/>
          <w:szCs w:val="24"/>
        </w:rPr>
        <w:t>quý vi</w:t>
      </w:r>
      <w:r>
        <w:rPr>
          <w:rFonts w:asciiTheme="minorHAnsi" w:eastAsia="Times New Roman" w:hAnsiTheme="minorHAnsi" w:cstheme="minorHAnsi"/>
          <w:color w:val="0070C0"/>
          <w:szCs w:val="24"/>
        </w:rPr>
        <w:t xml:space="preserve"> nên sử dụng kế hoạch thích ứng</w:t>
      </w:r>
      <w:r w:rsidR="006E53B1" w:rsidRPr="006E53B1">
        <w:rPr>
          <w:rFonts w:asciiTheme="minorHAnsi" w:eastAsia="Times New Roman" w:hAnsiTheme="minorHAnsi" w:cstheme="minorHAnsi"/>
          <w:color w:val="0070C0"/>
          <w:szCs w:val="24"/>
        </w:rPr>
        <w:t xml:space="preserve">. </w:t>
      </w:r>
    </w:p>
    <w:p w14:paraId="11EFDAA9" w14:textId="77777777" w:rsidR="006967B9" w:rsidRPr="006E53B1" w:rsidRDefault="006967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Cs w:val="24"/>
        </w:rPr>
      </w:pPr>
    </w:p>
    <w:p w14:paraId="3F0F9236" w14:textId="01766D18" w:rsidR="006E53B1" w:rsidRPr="006E53B1" w:rsidRDefault="007A4183" w:rsidP="006967B9">
      <w:pPr>
        <w:spacing w:after="0"/>
        <w:rPr>
          <w:rFonts w:asciiTheme="minorHAnsi" w:eastAsiaTheme="minorEastAsia" w:hAnsiTheme="minorHAnsi" w:cstheme="minorHAnsi"/>
          <w:b/>
          <w:bCs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MẪU – Kế hoạch thích ứng của trẻ em tại</w:t>
      </w:r>
      <w:r w:rsidR="006E53B1" w:rsidRPr="006E53B1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 MŠ </w:t>
      </w:r>
    </w:p>
    <w:p w14:paraId="5368F4F0" w14:textId="0F235499" w:rsidR="006E53B1" w:rsidRPr="006E53B1" w:rsidRDefault="007A4183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Trường mầm non chúng tôi đã chuẩn bị</w:t>
      </w:r>
      <w:r w:rsidR="006F07A7">
        <w:rPr>
          <w:rFonts w:asciiTheme="minorHAnsi" w:hAnsiTheme="minorHAnsi" w:cstheme="minorHAnsi"/>
          <w:color w:val="0070C0"/>
        </w:rPr>
        <w:t xml:space="preserve"> cho các học sinh mới </w:t>
      </w:r>
      <w:r w:rsidR="00F25A74">
        <w:rPr>
          <w:rFonts w:asciiTheme="minorHAnsi" w:hAnsiTheme="minorHAnsi" w:cstheme="minorHAnsi"/>
          <w:color w:val="0070C0"/>
        </w:rPr>
        <w:t>một kế hoạch thích ứng. Kế hoạch này giúp trẻ từ từ làm quen mới mội trường c</w:t>
      </w:r>
      <w:r w:rsidR="00BD5EAA">
        <w:rPr>
          <w:rFonts w:asciiTheme="minorHAnsi" w:hAnsiTheme="minorHAnsi" w:cstheme="minorHAnsi"/>
          <w:color w:val="0070C0"/>
        </w:rPr>
        <w:t>ủa trường mầm non qua sự giúp đỡ của bố mẹ và giáo viên trường</w:t>
      </w:r>
      <w:r w:rsidR="006E53B1" w:rsidRPr="006E53B1">
        <w:rPr>
          <w:rFonts w:asciiTheme="minorHAnsi" w:hAnsiTheme="minorHAnsi" w:cstheme="minorHAnsi"/>
          <w:color w:val="0070C0"/>
        </w:rPr>
        <w:t xml:space="preserve">. </w:t>
      </w:r>
    </w:p>
    <w:p w14:paraId="7C89746C" w14:textId="30557F72" w:rsidR="006E53B1" w:rsidRPr="006E53B1" w:rsidRDefault="00E23A3B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Rất hữu ích cho trẻ trong việc thích nghi khi phụ huynh có thể ở lại lớp cùng trẻ trong thời gian bắt đầu đi học theo kế hoạch sau đây</w:t>
      </w:r>
      <w:r w:rsidR="006E53B1" w:rsidRPr="006E53B1">
        <w:rPr>
          <w:rFonts w:asciiTheme="minorHAnsi" w:hAnsiTheme="minorHAnsi" w:cstheme="minorHAnsi"/>
          <w:color w:val="0070C0"/>
        </w:rPr>
        <w:t>:</w:t>
      </w:r>
    </w:p>
    <w:p w14:paraId="40446040" w14:textId="5425D2F9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 w:rsidRPr="006E53B1">
        <w:rPr>
          <w:rFonts w:asciiTheme="minorHAnsi" w:hAnsiTheme="minorHAnsi" w:cstheme="minorHAnsi"/>
          <w:color w:val="0070C0"/>
        </w:rPr>
        <w:t xml:space="preserve">1-3 </w:t>
      </w:r>
      <w:r w:rsidR="00E23A3B">
        <w:rPr>
          <w:rFonts w:asciiTheme="minorHAnsi" w:hAnsiTheme="minorHAnsi" w:cstheme="minorHAnsi"/>
          <w:color w:val="0070C0"/>
        </w:rPr>
        <w:t>ngày</w:t>
      </w:r>
      <w:r w:rsidR="00EE795B">
        <w:rPr>
          <w:rFonts w:asciiTheme="minorHAnsi" w:hAnsiTheme="minorHAnsi" w:cstheme="minorHAnsi"/>
          <w:color w:val="0070C0"/>
        </w:rPr>
        <w:t xml:space="preserve"> trẻ bắt đầu đi học mẫu giáo</w:t>
      </w:r>
      <w:r w:rsidRPr="006E53B1">
        <w:rPr>
          <w:rFonts w:asciiTheme="minorHAnsi" w:hAnsiTheme="minorHAnsi" w:cstheme="minorHAnsi"/>
          <w:color w:val="0070C0"/>
        </w:rPr>
        <w:t xml:space="preserve">: </w:t>
      </w:r>
      <w:r w:rsidR="00EE795B">
        <w:rPr>
          <w:rFonts w:asciiTheme="minorHAnsi" w:hAnsiTheme="minorHAnsi" w:cstheme="minorHAnsi"/>
          <w:color w:val="0070C0"/>
        </w:rPr>
        <w:t xml:space="preserve">Phụ huynh đến trường cùng trẻ (nếu có thể </w:t>
      </w:r>
      <w:r w:rsidR="008936D7">
        <w:rPr>
          <w:rFonts w:asciiTheme="minorHAnsi" w:hAnsiTheme="minorHAnsi" w:cstheme="minorHAnsi"/>
          <w:color w:val="0070C0"/>
        </w:rPr>
        <w:t xml:space="preserve">vào </w:t>
      </w:r>
      <w:r w:rsidR="00EE795B">
        <w:rPr>
          <w:rFonts w:asciiTheme="minorHAnsi" w:hAnsiTheme="minorHAnsi" w:cstheme="minorHAnsi"/>
          <w:color w:val="0070C0"/>
        </w:rPr>
        <w:t>cùng một lúc), ở lại lớp cùng trẻ tầm 1 giờ và sau đó cả hai cùng về nhà</w:t>
      </w:r>
      <w:r w:rsidRPr="006E53B1">
        <w:rPr>
          <w:rFonts w:asciiTheme="minorHAnsi" w:hAnsiTheme="minorHAnsi" w:cstheme="minorHAnsi"/>
          <w:color w:val="0070C0"/>
        </w:rPr>
        <w:t xml:space="preserve">. </w:t>
      </w:r>
      <w:r w:rsidR="00010F6E">
        <w:rPr>
          <w:rFonts w:asciiTheme="minorHAnsi" w:hAnsiTheme="minorHAnsi" w:cstheme="minorHAnsi"/>
          <w:color w:val="0070C0"/>
        </w:rPr>
        <w:t>Phụ hu</w:t>
      </w:r>
      <w:r w:rsidR="00E51BC6">
        <w:rPr>
          <w:rFonts w:asciiTheme="minorHAnsi" w:hAnsiTheme="minorHAnsi" w:cstheme="minorHAnsi"/>
          <w:color w:val="0070C0"/>
        </w:rPr>
        <w:t>ynh ở trường chỉ để hỗ chợ thụ động (vd. không nhắc nhở trẻ tham gia vào các hoạt động). Chấp nhận khi trẻ tìm kiếm sự gần gũi</w:t>
      </w:r>
      <w:r w:rsidR="007F13C7">
        <w:rPr>
          <w:rFonts w:asciiTheme="minorHAnsi" w:hAnsiTheme="minorHAnsi" w:cstheme="minorHAnsi"/>
          <w:color w:val="0070C0"/>
        </w:rPr>
        <w:t>, khi chúng cảm thấy không được an toàn và cần sự hỗ trợ của bố mẹ</w:t>
      </w:r>
      <w:r w:rsidRPr="006E53B1">
        <w:rPr>
          <w:rFonts w:asciiTheme="minorHAnsi" w:hAnsiTheme="minorHAnsi" w:cstheme="minorHAnsi"/>
          <w:color w:val="0070C0"/>
        </w:rPr>
        <w:t>.</w:t>
      </w:r>
    </w:p>
    <w:p w14:paraId="1A2D4B66" w14:textId="4A1B75CB" w:rsidR="006E53B1" w:rsidRPr="006E53B1" w:rsidRDefault="007F13C7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Ngày thứ </w:t>
      </w:r>
      <w:r w:rsidR="006E53B1" w:rsidRPr="006E53B1">
        <w:rPr>
          <w:rFonts w:asciiTheme="minorHAnsi" w:hAnsiTheme="minorHAnsi" w:cstheme="minorHAnsi"/>
          <w:color w:val="0070C0"/>
        </w:rPr>
        <w:t>4</w:t>
      </w:r>
      <w:r>
        <w:rPr>
          <w:rFonts w:asciiTheme="minorHAnsi" w:hAnsiTheme="minorHAnsi" w:cstheme="minorHAnsi"/>
          <w:color w:val="0070C0"/>
        </w:rPr>
        <w:t xml:space="preserve">, phụ huynh </w:t>
      </w:r>
      <w:r w:rsidR="00416210">
        <w:rPr>
          <w:rFonts w:asciiTheme="minorHAnsi" w:hAnsiTheme="minorHAnsi" w:cstheme="minorHAnsi"/>
          <w:color w:val="0070C0"/>
        </w:rPr>
        <w:t>đ</w:t>
      </w:r>
      <w:r>
        <w:rPr>
          <w:rFonts w:asciiTheme="minorHAnsi" w:hAnsiTheme="minorHAnsi" w:cstheme="minorHAnsi"/>
          <w:color w:val="0070C0"/>
        </w:rPr>
        <w:t xml:space="preserve">ưa trẻ đến trường </w:t>
      </w:r>
      <w:r w:rsidR="006E53B1" w:rsidRPr="006E53B1">
        <w:rPr>
          <w:rFonts w:asciiTheme="minorHAnsi" w:hAnsiTheme="minorHAnsi" w:cstheme="minorHAnsi"/>
          <w:color w:val="0070C0"/>
        </w:rPr>
        <w:t xml:space="preserve">MŠ </w:t>
      </w:r>
      <w:r>
        <w:rPr>
          <w:rFonts w:asciiTheme="minorHAnsi" w:hAnsiTheme="minorHAnsi" w:cstheme="minorHAnsi"/>
          <w:color w:val="0070C0"/>
        </w:rPr>
        <w:t>và đi về luôn</w:t>
      </w:r>
      <w:r w:rsidR="006D4462">
        <w:rPr>
          <w:rFonts w:asciiTheme="minorHAnsi" w:hAnsiTheme="minorHAnsi" w:cstheme="minorHAnsi"/>
          <w:color w:val="0070C0"/>
        </w:rPr>
        <w:t xml:space="preserve">, </w:t>
      </w:r>
      <w:r w:rsidR="00ED31DE">
        <w:rPr>
          <w:rFonts w:asciiTheme="minorHAnsi" w:hAnsiTheme="minorHAnsi" w:cstheme="minorHAnsi"/>
          <w:color w:val="0070C0"/>
        </w:rPr>
        <w:t>thời gian chia ly chỉ kéo dài 30 phút. Nếu trẻ thíc</w:t>
      </w:r>
      <w:r w:rsidR="008936D7">
        <w:rPr>
          <w:rFonts w:asciiTheme="minorHAnsi" w:hAnsiTheme="minorHAnsi" w:cstheme="minorHAnsi"/>
          <w:color w:val="0070C0"/>
        </w:rPr>
        <w:t>h</w:t>
      </w:r>
      <w:r w:rsidR="00ED31DE">
        <w:rPr>
          <w:rFonts w:asciiTheme="minorHAnsi" w:hAnsiTheme="minorHAnsi" w:cstheme="minorHAnsi"/>
          <w:color w:val="0070C0"/>
        </w:rPr>
        <w:t xml:space="preserve"> ứng tốt với việc chia ly, ngày 5 và 6 phụ huynh chỉ cần có tinh thần chuẩn bị nếu nhà trường cần sẽ gọi vào lớp. Sau ngày thứ 6 thời gian thích ứng có thể kết thúc</w:t>
      </w:r>
      <w:r w:rsidR="006E53B1" w:rsidRPr="006E53B1">
        <w:rPr>
          <w:rFonts w:asciiTheme="minorHAnsi" w:hAnsiTheme="minorHAnsi" w:cstheme="minorHAnsi"/>
          <w:color w:val="0070C0"/>
        </w:rPr>
        <w:t>.</w:t>
      </w:r>
    </w:p>
    <w:p w14:paraId="3F98436B" w14:textId="336085A7" w:rsidR="0002012F" w:rsidRPr="0085266D" w:rsidRDefault="00ED31DE" w:rsidP="0085266D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  <w:sectPr w:rsidR="0002012F" w:rsidRPr="0085266D" w:rsidSect="00D472C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color w:val="0070C0"/>
        </w:rPr>
        <w:t xml:space="preserve">Trong trường hợp ngày thứ 4 </w:t>
      </w:r>
      <w:r w:rsidR="00416210">
        <w:rPr>
          <w:rFonts w:asciiTheme="minorHAnsi" w:hAnsiTheme="minorHAnsi" w:cstheme="minorHAnsi"/>
          <w:color w:val="0070C0"/>
        </w:rPr>
        <w:t xml:space="preserve">trẻ rất khó chấp nhận sự chia ly, chúng ta có thể kéo dài thời gian thích </w:t>
      </w:r>
      <w:r w:rsidR="008936D7">
        <w:rPr>
          <w:rFonts w:asciiTheme="minorHAnsi" w:hAnsiTheme="minorHAnsi" w:cstheme="minorHAnsi"/>
          <w:color w:val="0070C0"/>
        </w:rPr>
        <w:t xml:space="preserve">ứng </w:t>
      </w:r>
      <w:r w:rsidR="00416210">
        <w:rPr>
          <w:rFonts w:asciiTheme="minorHAnsi" w:hAnsiTheme="minorHAnsi" w:cstheme="minorHAnsi"/>
          <w:color w:val="0070C0"/>
        </w:rPr>
        <w:t>lên 2-3 tuần và thử tách khỏi bố me vài ngày rồi chờ xem kết quả. Chúng tôi thường bàn luận với từng phụ huynh trong quá trinh thích ứng</w:t>
      </w:r>
      <w:r w:rsidR="00D82992">
        <w:rPr>
          <w:rFonts w:asciiTheme="minorHAnsi" w:hAnsiTheme="minorHAnsi" w:cstheme="minorHAnsi"/>
          <w:color w:val="0070C0"/>
        </w:rPr>
        <w:t xml:space="preserve"> tại trường </w:t>
      </w:r>
      <w:r w:rsidR="006E53B1" w:rsidRPr="006E53B1">
        <w:rPr>
          <w:rFonts w:asciiTheme="minorHAnsi" w:hAnsiTheme="minorHAnsi" w:cstheme="minorHAnsi"/>
          <w:color w:val="0070C0"/>
        </w:rPr>
        <w:t xml:space="preserve">MŠ </w:t>
      </w:r>
      <w:r w:rsidR="00D82992">
        <w:rPr>
          <w:rFonts w:asciiTheme="minorHAnsi" w:hAnsiTheme="minorHAnsi" w:cstheme="minorHAnsi"/>
          <w:color w:val="0070C0"/>
        </w:rPr>
        <w:t>và cùng tìm giải pháp tối ưu</w:t>
      </w:r>
      <w:r w:rsidR="006E53B1" w:rsidRPr="006E53B1">
        <w:rPr>
          <w:rFonts w:asciiTheme="minorHAnsi" w:hAnsiTheme="minorHAnsi" w:cstheme="minorHAnsi"/>
          <w:color w:val="0070C0"/>
        </w:rPr>
        <w:t>.</w:t>
      </w:r>
    </w:p>
    <w:p w14:paraId="6755488E" w14:textId="521A9200" w:rsidR="00194EA1" w:rsidRPr="006E53B1" w:rsidRDefault="00194EA1" w:rsidP="0085266D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E53B1" w:rsidSect="00D472C1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BDD6" w14:textId="77777777" w:rsidR="00D472C1" w:rsidRDefault="00D472C1">
      <w:pPr>
        <w:spacing w:after="0" w:line="240" w:lineRule="auto"/>
      </w:pPr>
      <w:r>
        <w:separator/>
      </w:r>
    </w:p>
  </w:endnote>
  <w:endnote w:type="continuationSeparator" w:id="0">
    <w:p w14:paraId="250D9B1E" w14:textId="77777777" w:rsidR="00D472C1" w:rsidRDefault="00D4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Content>
      <w:p w14:paraId="0EB546F9" w14:textId="5B901B9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B9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C166" w14:textId="77777777" w:rsidR="00D472C1" w:rsidRDefault="00D472C1">
      <w:pPr>
        <w:spacing w:after="0" w:line="240" w:lineRule="auto"/>
      </w:pPr>
      <w:r>
        <w:separator/>
      </w:r>
    </w:p>
  </w:footnote>
  <w:footnote w:type="continuationSeparator" w:id="0">
    <w:p w14:paraId="774D1DA8" w14:textId="77777777" w:rsidR="00D472C1" w:rsidRDefault="00D4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7DFDF135" w:rsidR="00BD496D" w:rsidRDefault="0085266D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323667D9" wp14:editId="5212DD9D">
          <wp:extent cx="1200785" cy="487680"/>
          <wp:effectExtent l="0" t="0" r="0" b="0"/>
          <wp:docPr id="589853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30ED98E0" wp14:editId="758FE7FB">
          <wp:extent cx="2060575" cy="506095"/>
          <wp:effectExtent l="0" t="0" r="0" b="0"/>
          <wp:docPr id="190765643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7FA13260" w:rsidR="000F1B8E" w:rsidRPr="0085266D" w:rsidRDefault="000F1B8E" w:rsidP="0085266D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2845">
    <w:abstractNumId w:val="4"/>
  </w:num>
  <w:num w:numId="2" w16cid:durableId="423764116">
    <w:abstractNumId w:val="11"/>
  </w:num>
  <w:num w:numId="3" w16cid:durableId="280771292">
    <w:abstractNumId w:val="0"/>
  </w:num>
  <w:num w:numId="4" w16cid:durableId="1238327682">
    <w:abstractNumId w:val="16"/>
  </w:num>
  <w:num w:numId="5" w16cid:durableId="642151348">
    <w:abstractNumId w:val="7"/>
  </w:num>
  <w:num w:numId="6" w16cid:durableId="1039014130">
    <w:abstractNumId w:val="9"/>
  </w:num>
  <w:num w:numId="7" w16cid:durableId="637079080">
    <w:abstractNumId w:val="14"/>
  </w:num>
  <w:num w:numId="8" w16cid:durableId="1395661206">
    <w:abstractNumId w:val="12"/>
  </w:num>
  <w:num w:numId="9" w16cid:durableId="1787579276">
    <w:abstractNumId w:val="8"/>
  </w:num>
  <w:num w:numId="10" w16cid:durableId="1615476113">
    <w:abstractNumId w:val="5"/>
  </w:num>
  <w:num w:numId="11" w16cid:durableId="1530097429">
    <w:abstractNumId w:val="18"/>
  </w:num>
  <w:num w:numId="12" w16cid:durableId="1260285949">
    <w:abstractNumId w:val="2"/>
  </w:num>
  <w:num w:numId="13" w16cid:durableId="1786122185">
    <w:abstractNumId w:val="3"/>
  </w:num>
  <w:num w:numId="14" w16cid:durableId="728530591">
    <w:abstractNumId w:val="1"/>
  </w:num>
  <w:num w:numId="15" w16cid:durableId="1776748443">
    <w:abstractNumId w:val="10"/>
  </w:num>
  <w:num w:numId="16" w16cid:durableId="345332596">
    <w:abstractNumId w:val="15"/>
  </w:num>
  <w:num w:numId="17" w16cid:durableId="621041253">
    <w:abstractNumId w:val="13"/>
  </w:num>
  <w:num w:numId="18" w16cid:durableId="1145320421">
    <w:abstractNumId w:val="6"/>
  </w:num>
  <w:num w:numId="19" w16cid:durableId="1824008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C"/>
    <w:rsid w:val="00010F6E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3A91"/>
    <w:rsid w:val="00344BBB"/>
    <w:rsid w:val="00346EF5"/>
    <w:rsid w:val="00393435"/>
    <w:rsid w:val="00416210"/>
    <w:rsid w:val="004204DC"/>
    <w:rsid w:val="004262AE"/>
    <w:rsid w:val="0045262C"/>
    <w:rsid w:val="00485C7B"/>
    <w:rsid w:val="004923A4"/>
    <w:rsid w:val="004C4239"/>
    <w:rsid w:val="004D517F"/>
    <w:rsid w:val="004E5C1A"/>
    <w:rsid w:val="004F5F16"/>
    <w:rsid w:val="00503C1B"/>
    <w:rsid w:val="0051686C"/>
    <w:rsid w:val="00571D1D"/>
    <w:rsid w:val="005B63FE"/>
    <w:rsid w:val="005C4517"/>
    <w:rsid w:val="00617E11"/>
    <w:rsid w:val="006745D9"/>
    <w:rsid w:val="006967B9"/>
    <w:rsid w:val="006B22FC"/>
    <w:rsid w:val="006D003E"/>
    <w:rsid w:val="006D4462"/>
    <w:rsid w:val="006E53B1"/>
    <w:rsid w:val="006F07A7"/>
    <w:rsid w:val="0070742C"/>
    <w:rsid w:val="00760C10"/>
    <w:rsid w:val="007774DF"/>
    <w:rsid w:val="0078442F"/>
    <w:rsid w:val="007A4183"/>
    <w:rsid w:val="007B58DE"/>
    <w:rsid w:val="007F13C7"/>
    <w:rsid w:val="00840FA6"/>
    <w:rsid w:val="0085266D"/>
    <w:rsid w:val="00853AD8"/>
    <w:rsid w:val="008936D7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BD5EAA"/>
    <w:rsid w:val="00C205C1"/>
    <w:rsid w:val="00C75AB9"/>
    <w:rsid w:val="00C86BB2"/>
    <w:rsid w:val="00CC5502"/>
    <w:rsid w:val="00D00C4E"/>
    <w:rsid w:val="00D142D1"/>
    <w:rsid w:val="00D23786"/>
    <w:rsid w:val="00D35A02"/>
    <w:rsid w:val="00D472C1"/>
    <w:rsid w:val="00D52938"/>
    <w:rsid w:val="00D60A2A"/>
    <w:rsid w:val="00D66AFB"/>
    <w:rsid w:val="00D81983"/>
    <w:rsid w:val="00D82992"/>
    <w:rsid w:val="00DB4EBE"/>
    <w:rsid w:val="00DD1A0B"/>
    <w:rsid w:val="00DE06A0"/>
    <w:rsid w:val="00E22B7F"/>
    <w:rsid w:val="00E23A3B"/>
    <w:rsid w:val="00E25221"/>
    <w:rsid w:val="00E47461"/>
    <w:rsid w:val="00E51BC6"/>
    <w:rsid w:val="00E60A81"/>
    <w:rsid w:val="00E96E9E"/>
    <w:rsid w:val="00EC3C50"/>
    <w:rsid w:val="00ED31DE"/>
    <w:rsid w:val="00EE795B"/>
    <w:rsid w:val="00EF03D6"/>
    <w:rsid w:val="00EF6E00"/>
    <w:rsid w:val="00F15744"/>
    <w:rsid w:val="00F25A74"/>
    <w:rsid w:val="00F8435E"/>
    <w:rsid w:val="00F93992"/>
    <w:rsid w:val="00FE6CBB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F81AA82C-0257-4EEB-80EF-C74380B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UHRUZACKTJEK-540971305-182581</_dlc_DocId>
    <_dlc_DocIdUrl xmlns="889b5d77-561b-4745-9149-1638f0c8024a">
      <Url>https://metaops.sharepoint.com/sites/disk/_layouts/15/DocIdRedir.aspx?ID=UHRUZACKTJEK-540971305-182581</Url>
      <Description>UHRUZACKTJEK-540971305-182581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35EF4D93-2104-4468-BA0A-9E392BA7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7910BC-BA42-4752-91AC-58CCCE78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Jaroslav Zahradnik</cp:lastModifiedBy>
  <cp:revision>4</cp:revision>
  <cp:lastPrinted>2018-01-10T14:49:00Z</cp:lastPrinted>
  <dcterms:created xsi:type="dcterms:W3CDTF">2018-11-28T21:20:00Z</dcterms:created>
  <dcterms:modified xsi:type="dcterms:W3CDTF">2024-02-09T09:06:00Z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2af145b6-2101-44c1-93e5-941855bba0bd</vt:lpwstr>
  </property>
</Properties>
</file>